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DUMMY/ND-036/XI/2026/Pertahanan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Infrastruktur</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Layanan Digital</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Rencana Migrasi Email Internal</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105 tahun 2025 tanggal 3 Juni 2025 tentang Pengelolaan Komunikasi Elektronik;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Kep/735/XI/2024 tentang Migrasi Platform Email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rencana migrasi akun email internal ke platform baru secara bertahap. Dukungan tersebut diperlukan untuk meningkatkan kapasitas penyimpanan, keamanan akses, dan kemudahan administrasi akun, sedangkan kondisi saat ini platform lama mendekati batas dukungan dan memiliki keterbatasan pengelolaan.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Layanan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Farhan Hakim.</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November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Farhan Hakim.</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036</dc:title>
  <dc:subject>Rencana Migrasi Email Internal</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