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DUMMY/ND-038/VI/2026/Pertahanan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Operasional</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Dukungan Pengguna</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Penjadwalan Reset Kredensial</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107 tahun 2025 tanggal 6 Januari 2025 tentang Pengelolaan Identitas Pengguna;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Kep/737/I/2024 tentang Pemutakhiran Kredensial Berkala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rencana reset kredensial berkala bagi akun yang belum melakukan perubahan sesuai jadwal. Dukungan tersebut diperlukan untuk memastikan kepatuhan terhadap kebijakan kata sandi dan menutup akun yang tidak aktif, sedangkan kondisi saat ini hasil pemeriksaan menunjukkan sejumlah akun melewati periode perubahan yang ditetapkan.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Dukung</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Juni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Gilang Perdana.</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Juni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Gilang Perdana.</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038</dc:title>
  <dc:subject>Penjadwalan Reset Kredensial</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