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CareerVault: A Dual-Approval, Merkle-Anchored System for Verifiable Employment Credentials</w:t>
      </w:r>
    </w:p>
    <w:tbl>
      <w:tblPr>
        <w:tblW w:type="auto" w:w="0"/>
        <w:tblLayout w:type="fixed"/>
        <w:tblLook w:firstColumn="1" w:firstRow="1" w:lastColumn="0" w:lastRow="0" w:noHBand="0" w:noVBand="1" w:val="04A0"/>
      </w:tblPr>
      <w:tblGrid>
        <w:gridCol w:w="2610"/>
        <w:gridCol w:w="2610"/>
        <w:gridCol w:w="2610"/>
        <w:gridCol w:w="2610"/>
      </w:tblGrid>
      <w:tr>
        <w:tc>
          <w:tcPr>
            <w:tcW w:type="dxa" w:w="2621"/>
          </w:tcPr>
          <w:p>
            <w:pPr>
              <w:pStyle w:val="AuthorIEEE"/>
            </w:pPr>
            <w:r>
              <w:rPr>
                <w:rFonts w:ascii="Times New Roman" w:hAnsi="Times New Roman" w:eastAsia="Times New Roman" w:cs="Times New Roman"/>
                <w:b/>
                <w:sz w:val="20"/>
              </w:rPr>
              <w:t>[Author Name 1]</w:t>
            </w:r>
          </w:p>
          <w:p>
            <w:pPr>
              <w:pStyle w:val="AuthorIEEE"/>
            </w:pPr>
            <w:r>
              <w:rPr>
                <w:rFonts w:ascii="Times New Roman" w:hAnsi="Times New Roman" w:eastAsia="Times New Roman" w:cs="Times New Roman"/>
                <w:sz w:val="18"/>
              </w:rPr>
              <w:t>Dept. of [Department]</w:t>
            </w:r>
          </w:p>
          <w:p>
            <w:pPr>
              <w:pStyle w:val="AuthorIEEE"/>
            </w:pPr>
            <w:r>
              <w:rPr>
                <w:rFonts w:ascii="Times New Roman" w:hAnsi="Times New Roman" w:eastAsia="Times New Roman" w:cs="Times New Roman"/>
                <w:sz w:val="18"/>
              </w:rPr>
              <w:t>K. J. Somaiya School of Engineering</w:t>
            </w:r>
          </w:p>
          <w:p>
            <w:pPr>
              <w:pStyle w:val="AuthorIEEE"/>
            </w:pPr>
            <w:r>
              <w:rPr>
                <w:rFonts w:ascii="Times New Roman" w:hAnsi="Times New Roman" w:eastAsia="Times New Roman" w:cs="Times New Roman"/>
                <w:sz w:val="18"/>
              </w:rPr>
              <w:t>Mumbai, India</w:t>
            </w:r>
          </w:p>
          <w:p>
            <w:pPr>
              <w:pStyle w:val="AuthorIEEE"/>
            </w:pPr>
            <w:r>
              <w:rPr>
                <w:rFonts w:ascii="Times New Roman" w:hAnsi="Times New Roman" w:eastAsia="Times New Roman" w:cs="Times New Roman"/>
                <w:i/>
                <w:sz w:val="18"/>
              </w:rPr>
              <w:t>[email1@domain]</w:t>
            </w:r>
          </w:p>
        </w:tc>
        <w:tc>
          <w:tcPr>
            <w:tcW w:type="dxa" w:w="2621"/>
          </w:tcPr>
          <w:p>
            <w:pPr>
              <w:pStyle w:val="AuthorIEEE"/>
            </w:pPr>
            <w:r>
              <w:rPr>
                <w:rFonts w:ascii="Times New Roman" w:hAnsi="Times New Roman" w:eastAsia="Times New Roman" w:cs="Times New Roman"/>
                <w:b/>
                <w:sz w:val="20"/>
              </w:rPr>
              <w:t>[Author Name 2]</w:t>
            </w:r>
          </w:p>
          <w:p>
            <w:pPr>
              <w:pStyle w:val="AuthorIEEE"/>
            </w:pPr>
            <w:r>
              <w:rPr>
                <w:rFonts w:ascii="Times New Roman" w:hAnsi="Times New Roman" w:eastAsia="Times New Roman" w:cs="Times New Roman"/>
                <w:sz w:val="18"/>
              </w:rPr>
              <w:t>Dept. of [Department]</w:t>
            </w:r>
          </w:p>
          <w:p>
            <w:pPr>
              <w:pStyle w:val="AuthorIEEE"/>
            </w:pPr>
            <w:r>
              <w:rPr>
                <w:rFonts w:ascii="Times New Roman" w:hAnsi="Times New Roman" w:eastAsia="Times New Roman" w:cs="Times New Roman"/>
                <w:sz w:val="18"/>
              </w:rPr>
              <w:t>K. J. Somaiya School of Engineering</w:t>
            </w:r>
          </w:p>
          <w:p>
            <w:pPr>
              <w:pStyle w:val="AuthorIEEE"/>
            </w:pPr>
            <w:r>
              <w:rPr>
                <w:rFonts w:ascii="Times New Roman" w:hAnsi="Times New Roman" w:eastAsia="Times New Roman" w:cs="Times New Roman"/>
                <w:sz w:val="18"/>
              </w:rPr>
              <w:t>Mumbai, India</w:t>
            </w:r>
          </w:p>
          <w:p>
            <w:pPr>
              <w:pStyle w:val="AuthorIEEE"/>
            </w:pPr>
            <w:r>
              <w:rPr>
                <w:rFonts w:ascii="Times New Roman" w:hAnsi="Times New Roman" w:eastAsia="Times New Roman" w:cs="Times New Roman"/>
                <w:i/>
                <w:sz w:val="18"/>
              </w:rPr>
              <w:t>[email2@domain]</w:t>
            </w:r>
          </w:p>
        </w:tc>
        <w:tc>
          <w:tcPr>
            <w:tcW w:type="dxa" w:w="2621"/>
          </w:tcPr>
          <w:p>
            <w:pPr>
              <w:pStyle w:val="AuthorIEEE"/>
            </w:pPr>
            <w:r>
              <w:rPr>
                <w:rFonts w:ascii="Times New Roman" w:hAnsi="Times New Roman" w:eastAsia="Times New Roman" w:cs="Times New Roman"/>
                <w:b/>
                <w:sz w:val="20"/>
              </w:rPr>
              <w:t>[Author Name 3]</w:t>
            </w:r>
          </w:p>
          <w:p>
            <w:pPr>
              <w:pStyle w:val="AuthorIEEE"/>
            </w:pPr>
            <w:r>
              <w:rPr>
                <w:rFonts w:ascii="Times New Roman" w:hAnsi="Times New Roman" w:eastAsia="Times New Roman" w:cs="Times New Roman"/>
                <w:sz w:val="18"/>
              </w:rPr>
              <w:t>Dept. of [Department]</w:t>
            </w:r>
          </w:p>
          <w:p>
            <w:pPr>
              <w:pStyle w:val="AuthorIEEE"/>
            </w:pPr>
            <w:r>
              <w:rPr>
                <w:rFonts w:ascii="Times New Roman" w:hAnsi="Times New Roman" w:eastAsia="Times New Roman" w:cs="Times New Roman"/>
                <w:sz w:val="18"/>
              </w:rPr>
              <w:t>K. J. Somaiya School of Engineering</w:t>
            </w:r>
          </w:p>
          <w:p>
            <w:pPr>
              <w:pStyle w:val="AuthorIEEE"/>
            </w:pPr>
            <w:r>
              <w:rPr>
                <w:rFonts w:ascii="Times New Roman" w:hAnsi="Times New Roman" w:eastAsia="Times New Roman" w:cs="Times New Roman"/>
                <w:sz w:val="18"/>
              </w:rPr>
              <w:t>Mumbai, India</w:t>
            </w:r>
          </w:p>
          <w:p>
            <w:pPr>
              <w:pStyle w:val="AuthorIEEE"/>
            </w:pPr>
            <w:r>
              <w:rPr>
                <w:rFonts w:ascii="Times New Roman" w:hAnsi="Times New Roman" w:eastAsia="Times New Roman" w:cs="Times New Roman"/>
                <w:i/>
                <w:sz w:val="18"/>
              </w:rPr>
              <w:t>[email3@domain]</w:t>
            </w:r>
          </w:p>
        </w:tc>
        <w:tc>
          <w:tcPr>
            <w:tcW w:type="dxa" w:w="2621"/>
          </w:tcPr>
          <w:p>
            <w:pPr>
              <w:pStyle w:val="AuthorIEEE"/>
            </w:pPr>
            <w:r>
              <w:rPr>
                <w:rFonts w:ascii="Times New Roman" w:hAnsi="Times New Roman" w:eastAsia="Times New Roman" w:cs="Times New Roman"/>
                <w:b/>
                <w:sz w:val="20"/>
              </w:rPr>
              <w:t>[Author Name 4]</w:t>
            </w:r>
          </w:p>
          <w:p>
            <w:pPr>
              <w:pStyle w:val="AuthorIEEE"/>
            </w:pPr>
            <w:r>
              <w:rPr>
                <w:rFonts w:ascii="Times New Roman" w:hAnsi="Times New Roman" w:eastAsia="Times New Roman" w:cs="Times New Roman"/>
                <w:sz w:val="18"/>
              </w:rPr>
              <w:t>Dept. of [Department]</w:t>
            </w:r>
          </w:p>
          <w:p>
            <w:pPr>
              <w:pStyle w:val="AuthorIEEE"/>
            </w:pPr>
            <w:r>
              <w:rPr>
                <w:rFonts w:ascii="Times New Roman" w:hAnsi="Times New Roman" w:eastAsia="Times New Roman" w:cs="Times New Roman"/>
                <w:sz w:val="18"/>
              </w:rPr>
              <w:t>K. J. Somaiya School of Engineering</w:t>
            </w:r>
          </w:p>
          <w:p>
            <w:pPr>
              <w:pStyle w:val="AuthorIEEE"/>
            </w:pPr>
            <w:r>
              <w:rPr>
                <w:rFonts w:ascii="Times New Roman" w:hAnsi="Times New Roman" w:eastAsia="Times New Roman" w:cs="Times New Roman"/>
                <w:sz w:val="18"/>
              </w:rPr>
              <w:t>Mumbai, India</w:t>
            </w:r>
          </w:p>
          <w:p>
            <w:pPr>
              <w:pStyle w:val="AuthorIEEE"/>
            </w:pPr>
            <w:r>
              <w:rPr>
                <w:rFonts w:ascii="Times New Roman" w:hAnsi="Times New Roman" w:eastAsia="Times New Roman" w:cs="Times New Roman"/>
                <w:i/>
                <w:sz w:val="18"/>
              </w:rPr>
              <w:t>[email4@domain]</w:t>
            </w:r>
          </w:p>
        </w:tc>
      </w:tr>
    </w:tbl>
    <w:p>
      <w:pPr>
        <w:spacing w:after="80"/>
      </w:pPr>
    </w:p>
    <w:p>
      <w:pPr>
        <w:sectPr>
          <w:footerReference w:type="default" r:id="rId9"/>
          <w:pgSz w:w="12240" w:h="15840"/>
          <w:pgMar w:top="1080" w:right="900" w:bottom="1440" w:left="900" w:header="576" w:footer="720" w:gutter="0"/>
          <w:cols w:space="720"/>
          <w:docGrid w:linePitch="360"/>
        </w:sectPr>
      </w:pPr>
    </w:p>
    <w:p>
      <w:pPr>
        <w:pStyle w:val="AbstractIEEE"/>
        <w:ind w:firstLine="0"/>
      </w:pPr>
      <w:r>
        <w:rPr>
          <w:b/>
          <w:i/>
          <w:sz w:val="18"/>
        </w:rPr>
        <w:t>Abstract—</w:t>
      </w:r>
      <w:r>
        <w:rPr>
          <w:rFonts w:ascii="Times New Roman" w:hAnsi="Times New Roman" w:eastAsia="Times New Roman" w:cs="Times New Roman"/>
          <w:b/>
          <w:sz w:val="18"/>
        </w:rPr>
        <w:t>Verifying an applicant’s employment history is slow, manual and repeated by every employer. This paper presents CareerVault, a working system in which an organisation issues employment documents (experience and relieving letters, salary certificates, letters of recommendation) that are approved by both a manager and an HR officer, held by the employee in a wallet, and verifiable by anyone. Document content is canonicalised (RFC 8785), salted and hashed with SHA-256; the manager and the HR officer each sign a distinct, role-bound statement with the organisation’s RSA-2048 key; and a daily job folds all newly issued hashes into a Merkle tree whose 32-byte root is anchored in a Solidity registry deployed on the Polygon Amoy testnet. A downloadable credential file lets a verifier recheck the hash, both signatures, Merkle inclusion and the on-chain root without contacting the server. Sensitive fields are sealed with AES-256-GCM envelope encryption, and erasure deletes the per-document salt so that the anchored hash can no longer be tied to content. A consent-gated talent-matching module retrieves candidates with pgvector and explains scores with TreeSHAP. We describe the design, a threat analysis and measured costs: a Merkle proof for a batch of 100,000 documents is 544 bytes and verifies in about 45 µs. We also state plainly what is not yet real: one custodial key per organisation, mocked payments and e-mail, and a ranker that has not been trained on outcome data.</w:t>
      </w:r>
    </w:p>
    <w:p>
      <w:pPr>
        <w:pStyle w:val="AbstractIEEE"/>
      </w:pPr>
      <w:r>
        <w:rPr>
          <w:b/>
          <w:i/>
          <w:sz w:val="18"/>
        </w:rPr>
        <w:t>Index Terms—</w:t>
      </w:r>
      <w:r>
        <w:rPr>
          <w:rFonts w:ascii="Times New Roman" w:hAnsi="Times New Roman" w:eastAsia="Times New Roman" w:cs="Times New Roman"/>
          <w:b/>
          <w:sz w:val="18"/>
        </w:rPr>
        <w:t>credential verification, blockchain anchoring, Merkle tree, digital signatures, verifiable credentials, envelope encryption, right to erasure, explainable AI, TreeSHAP</w:t>
      </w:r>
    </w:p>
    <w:p>
      <w:pPr>
        <w:pStyle w:val="Heading1"/>
      </w:pPr>
      <w:r>
        <w:t>I. Introduction</w:t>
      </w:r>
    </w:p>
    <w:p>
      <w:pPr>
        <w:pStyle w:val="BodyTextIEEE"/>
        <w:ind w:firstLine="0"/>
      </w:pPr>
      <w:r>
        <w:rPr>
          <w:rFonts w:ascii="Times New Roman" w:hAnsi="Times New Roman" w:eastAsia="Times New Roman" w:cs="Times New Roman"/>
        </w:rPr>
        <w:t>Employers routinely act on documents they cannot cheaply authenticate. Background-verification vendors report non-trivial discrepancy rates: AuthBridge’s 2025 report, covering checks run between October 2024 and March 2025, puts the rate at 6% for white-collar candidates and 9.46% in IT/ITES, with inflated titles, exaggerated tenures and unverifiable employers among the commonest flags [1], and an earlier HireRight study of 218,427 checks in India found discrepancies in 23% [2]. Both figures are vendor-published and self-reported and are not comparable with each other, but they show why verification is a standing cost of hiring. Verification today usually starts after an offer and proceeds by e-mail, telephone or a paid agency, which delays onboarding and is unaffordable for many small employers [3].</w:t>
      </w:r>
    </w:p>
    <w:p>
      <w:pPr>
        <w:pStyle w:val="BodyTextIEEE"/>
      </w:pPr>
      <w:r>
        <w:rPr>
          <w:rFonts w:ascii="Times New Roman" w:hAnsi="Times New Roman" w:eastAsia="Times New Roman" w:cs="Times New Roman"/>
        </w:rPr>
        <w:t>Anchoring cryptographic fingerprints of documents on a public ledger is an established answer to tamper evidence [4], [5], [6]. Systems for academic credentials [7], [8], [9] and for hiring documents [3], [10] have applied it. Four questions remain less well covered in the literature we reviewed. Who exactly attested to a document, and can one person alone produce that attestation? How can content stay private and erasable when its fingerprint sits on an immutable ledger? Can a third party verify a document if the operator disappears? And what does an end-to-end, deployable system look like, beyond a prototype that stores hashes?</w:t>
      </w:r>
    </w:p>
    <w:p>
      <w:pPr>
        <w:pStyle w:val="BodyTextIEEE"/>
      </w:pPr>
      <w:r>
        <w:rPr>
          <w:rFonts w:ascii="Times New Roman" w:hAnsi="Times New Roman" w:eastAsia="Times New Roman" w:cs="Times New Roman"/>
        </w:rPr>
        <w:t>We present CareerVault, a system built to answer these questions for employment documents in an Indian context, and make the following contributions:</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Role-bound dual approval.</w:t>
      </w:r>
      <w:r>
        <w:rPr>
          <w:rFonts w:ascii="Times New Roman" w:hAnsi="Times New Roman" w:eastAsia="Times New Roman" w:cs="Times New Roman"/>
        </w:rPr>
        <w:t xml:space="preserve"> A manager and an HR officer each sign a distinct statement that binds the document hash to a role and a membership identifier, so the two signatures are not interchangeable (Section V-C).</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Salted hash, Merkle batching and an offline credential.</w:t>
      </w:r>
      <w:r>
        <w:rPr>
          <w:rFonts w:ascii="Times New Roman" w:hAnsi="Times New Roman" w:eastAsia="Times New Roman" w:cs="Times New Roman"/>
        </w:rPr>
        <w:t xml:space="preserve"> Documents are hashed with a per-document salt, batched daily into a Merkle tree, and anchored by a 32-byte root; a self-contained credential file lets anyone recheck every step without the operator (Sections V-D to V-F).</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Layered data protection.</w:t>
      </w:r>
      <w:r>
        <w:rPr>
          <w:rFonts w:ascii="Times New Roman" w:hAnsi="Times New Roman" w:eastAsia="Times New Roman" w:cs="Times New Roman"/>
        </w:rPr>
        <w:t xml:space="preserve"> Application-level envelope encryption with fail-closed reads and a batch integrity gate, tiered disclosure to anonymous verifiers, and erasure by salt deletion (Section VII).</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Consent-gated, explainable matching.</w:t>
      </w:r>
      <w:r>
        <w:rPr>
          <w:rFonts w:ascii="Times New Roman" w:hAnsi="Times New Roman" w:eastAsia="Times New Roman" w:cs="Times New Roman"/>
        </w:rPr>
        <w:t xml:space="preserve"> A pipeline from consented skill extraction to vector retrieval and TreeSHAP attributions, with an explicit statement of what the ranker does and does not learn (Section VIII).</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Implementation, measurements and limits.</w:t>
      </w:r>
      <w:r>
        <w:rPr>
          <w:rFonts w:ascii="Times New Roman" w:hAnsi="Times New Roman" w:eastAsia="Times New Roman" w:cs="Times New Roman"/>
        </w:rPr>
        <w:t xml:space="preserve"> A deployed implementation, micro-benchmarks of its cryptographic primitives, a threat analysis, and a candid list of limitations (Sections IX and X).</w:t>
      </w:r>
    </w:p>
    <w:p>
      <w:pPr>
        <w:pStyle w:val="BodyTextIEEE"/>
      </w:pPr>
      <w:r>
        <w:rPr>
          <w:rFonts w:ascii="Times New Roman" w:hAnsi="Times New Roman" w:eastAsia="Times New Roman" w:cs="Times New Roman"/>
        </w:rPr>
        <w:t>We followed the design-science research methodology [11]: the problem and objectives (Section III) precede the artefact (Sections IV–VIII), which we demonstrate through a running deployment and evaluate through measurements and a threat analysis (Section IX). Section II reviews related work, Section XI lists planned work taken from the project’s own roadmap, and Section XII concludes.</w:t>
      </w:r>
    </w:p>
    <w:p>
      <w:pPr>
        <w:pStyle w:val="Heading1"/>
      </w:pPr>
      <w:r>
        <w:t>II. Background and Related Work</w:t>
      </w:r>
    </w:p>
    <w:p>
      <w:pPr>
        <w:pStyle w:val="Heading2"/>
      </w:pPr>
      <w:r>
        <w:t>A. Hash Anchoring and Merkle Batching</w:t>
      </w:r>
    </w:p>
    <w:p>
      <w:pPr>
        <w:pStyle w:val="BodyTextIEEE"/>
        <w:ind w:firstLine="0"/>
      </w:pPr>
      <w:r>
        <w:rPr>
          <w:rFonts w:ascii="Times New Roman" w:hAnsi="Times New Roman" w:eastAsia="Times New Roman" w:cs="Times New Roman"/>
        </w:rPr>
        <w:t xml:space="preserve">Haber and Stornetta proposed time-stamping a document by publishing a hash of it [4]; Merkle trees [5] let many hashes share one published value. OpenTimestamps aggregates many digests into one Bitcoin transaction and returns a proof that is completed once the anchor confirms [6], the same incomplete-then-complete pattern that CareerVault exposes as a </w:t>
      </w:r>
      <w:r>
        <w:rPr>
          <w:rFonts w:ascii="Times New Roman" w:hAnsi="Times New Roman" w:eastAsia="Times New Roman" w:cs="Times New Roman"/>
          <w:i/>
        </w:rPr>
        <w:t>pending-anchor</w:t>
      </w:r>
      <w:r>
        <w:rPr>
          <w:rFonts w:ascii="Times New Roman" w:hAnsi="Times New Roman" w:eastAsia="Times New Roman" w:cs="Times New Roman"/>
        </w:rPr>
        <w:t xml:space="preserve"> verdict. Certificate Transparency prefixes leaf and interior hashes with different bytes to separate their domains [12]; we return to this in Section X.</w:t>
      </w:r>
    </w:p>
    <w:p>
      <w:pPr>
        <w:pStyle w:val="Heading2"/>
      </w:pPr>
      <w:r>
        <w:t>B. Blockchain-Based Credential Systems</w:t>
      </w:r>
    </w:p>
    <w:p>
      <w:pPr>
        <w:pStyle w:val="BodyTextIEEE"/>
      </w:pPr>
      <w:r>
        <w:rPr>
          <w:rFonts w:ascii="Times New Roman" w:hAnsi="Times New Roman" w:eastAsia="Times New Roman" w:cs="Times New Roman"/>
        </w:rPr>
        <w:t xml:space="preserve">Table I summarises the systems we compare against. Marella and Vijayan store, on a Hyperledger Fabric consortium ledger, the hash of a document and the hash of an identifier (social-security number plus last name); a hiring manager uploads the document to a web application that recomputes and compares the hash [3]. Fabric is a permissioned platform with pluggable consensus [13]. MIT’s 2017 pilot gave 111 students digital diplomas whose hash was written to the Bitcoin blockchain [7], using the Blockcerts format. Baldi </w:t>
      </w:r>
      <w:r>
        <w:rPr>
          <w:rFonts w:ascii="Times New Roman" w:hAnsi="Times New Roman" w:eastAsia="Times New Roman" w:cs="Times New Roman"/>
          <w:i/>
        </w:rPr>
        <w:t>et al.</w:t>
      </w:r>
      <w:r>
        <w:rPr>
          <w:rFonts w:ascii="Times New Roman" w:hAnsi="Times New Roman" w:eastAsia="Times New Roman" w:cs="Times New Roman"/>
        </w:rPr>
        <w:t xml:space="preserve"> analysed Blockcerts and showed that its issuer-authentication step can be defeated by fabricated issuer profiles [14], a weakness that bears directly on how a verifier binds a signing key to an organisation (Section V-F). EduCTX represents higher-education credits as tokens on an Ark-based platform [8]; Gräther </w:t>
      </w:r>
      <w:r>
        <w:rPr>
          <w:rFonts w:ascii="Times New Roman" w:hAnsi="Times New Roman" w:eastAsia="Times New Roman" w:cs="Times New Roman"/>
          <w:i/>
        </w:rPr>
        <w:t>et al.</w:t>
      </w:r>
      <w:r>
        <w:rPr>
          <w:rFonts w:ascii="Times New Roman" w:hAnsi="Times New Roman" w:eastAsia="Times New Roman" w:cs="Times New Roman"/>
        </w:rPr>
        <w:t xml:space="preserve"> describe an Ethereum platform that stores certificate fingerprints and supports certifiers, learners and employers [9]; and Herbke </w:t>
      </w:r>
      <w:r>
        <w:rPr>
          <w:rFonts w:ascii="Times New Roman" w:hAnsi="Times New Roman" w:eastAsia="Times New Roman" w:cs="Times New Roman"/>
          <w:i/>
        </w:rPr>
        <w:t>et al.</w:t>
      </w:r>
      <w:r>
        <w:rPr>
          <w:rFonts w:ascii="Times New Roman" w:hAnsi="Times New Roman" w:eastAsia="Times New Roman" w:cs="Times New Roman"/>
        </w:rPr>
        <w:t xml:space="preserve"> manage the lifecycle of résumés with decentralised identifiers and verifiable credentials on EBSI [10].</w:t>
      </w:r>
    </w:p>
    <w:p>
      <w:pPr>
        <w:pStyle w:val="Caption"/>
        <w:keepNext/>
        <w:spacing w:after="60" w:before="120"/>
      </w:pPr>
      <w:r>
        <w:rPr>
          <w:smallCaps w:val="0"/>
          <w:sz w:val="16"/>
        </w:rPr>
        <w:t>TABLE I</w:t>
      </w:r>
      <w:r>
        <w:rPr>
          <w:smallCaps/>
        </w:rPr>
        <w:br/>
      </w:r>
      <w:r>
        <w:rPr>
          <w:rFonts w:ascii="Times New Roman" w:hAnsi="Times New Roman" w:eastAsia="Times New Roman" w:cs="Times New Roman"/>
          <w:smallCaps/>
          <w:sz w:val="16"/>
        </w:rPr>
        <w:t>Comparison with related systems</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1152"/>
        <w:gridCol w:w="1152"/>
        <w:gridCol w:w="1368"/>
        <w:gridCol w:w="1368"/>
      </w:tblGrid>
      <w:tr>
        <w:trPr>
          <w:cantSplit/>
          <w:tblHeader/>
        </w:trPr>
        <w:tc>
          <w:tcPr>
            <w:tcW w:type="dxa" w:w="1152"/>
            <w:tcBorders>
              <w:bottom w:val="single" w:sz="6" w:space="0" w:color="000000"/>
            </w:tcBorders>
          </w:tcPr>
          <w:p>
            <w:pPr>
              <w:pStyle w:val="TableTextIEEE"/>
              <w:keepNext/>
            </w:pPr>
            <w:r>
              <w:rPr>
                <w:rFonts w:ascii="Times New Roman" w:hAnsi="Times New Roman" w:eastAsia="Times New Roman" w:cs="Times New Roman"/>
                <w:b/>
                <w:sz w:val="15"/>
              </w:rPr>
              <w:t>Work</w:t>
            </w:r>
          </w:p>
        </w:tc>
        <w:tc>
          <w:tcPr>
            <w:tcW w:type="dxa" w:w="1152"/>
            <w:tcBorders>
              <w:bottom w:val="single" w:sz="6" w:space="0" w:color="000000"/>
            </w:tcBorders>
          </w:tcPr>
          <w:p>
            <w:pPr>
              <w:pStyle w:val="TableTextIEEE"/>
              <w:keepNext/>
            </w:pPr>
            <w:r>
              <w:rPr>
                <w:rFonts w:ascii="Times New Roman" w:hAnsi="Times New Roman" w:eastAsia="Times New Roman" w:cs="Times New Roman"/>
                <w:b/>
                <w:sz w:val="15"/>
              </w:rPr>
              <w:t>Ledger</w:t>
            </w:r>
          </w:p>
        </w:tc>
        <w:tc>
          <w:tcPr>
            <w:tcW w:type="dxa" w:w="1368"/>
            <w:tcBorders>
              <w:bottom w:val="single" w:sz="6" w:space="0" w:color="000000"/>
            </w:tcBorders>
          </w:tcPr>
          <w:p>
            <w:pPr>
              <w:pStyle w:val="TableTextIEEE"/>
              <w:keepNext/>
            </w:pPr>
            <w:r>
              <w:rPr>
                <w:rFonts w:ascii="Times New Roman" w:hAnsi="Times New Roman" w:eastAsia="Times New Roman" w:cs="Times New Roman"/>
                <w:b/>
                <w:sz w:val="15"/>
              </w:rPr>
              <w:t>On-chain payload</w:t>
            </w:r>
          </w:p>
        </w:tc>
        <w:tc>
          <w:tcPr>
            <w:tcW w:type="dxa" w:w="1368"/>
            <w:tcBorders>
              <w:bottom w:val="single" w:sz="6" w:space="0" w:color="000000"/>
            </w:tcBorders>
          </w:tcPr>
          <w:p>
            <w:pPr>
              <w:pStyle w:val="TableTextIEEE"/>
              <w:keepNext/>
            </w:pPr>
            <w:r>
              <w:rPr>
                <w:rFonts w:ascii="Times New Roman" w:hAnsi="Times New Roman" w:eastAsia="Times New Roman" w:cs="Times New Roman"/>
                <w:b/>
                <w:sz w:val="15"/>
              </w:rPr>
              <w:t>Focus</w:t>
            </w:r>
          </w:p>
        </w:tc>
      </w:tr>
      <w:tr>
        <w:trPr>
          <w:cantSplit/>
        </w:trPr>
        <w:tc>
          <w:tcPr>
            <w:tcW w:type="dxa" w:w="1152"/>
          </w:tcPr>
          <w:p>
            <w:pPr>
              <w:pStyle w:val="TableTextIEEE"/>
              <w:keepNext/>
            </w:pPr>
            <w:r>
              <w:rPr>
                <w:rFonts w:ascii="Times New Roman" w:hAnsi="Times New Roman" w:eastAsia="Times New Roman" w:cs="Times New Roman"/>
                <w:sz w:val="15"/>
              </w:rPr>
              <w:t>Marella &amp; Vijayan [3]</w:t>
            </w:r>
          </w:p>
        </w:tc>
        <w:tc>
          <w:tcPr>
            <w:tcW w:type="dxa" w:w="1152"/>
          </w:tcPr>
          <w:p>
            <w:pPr>
              <w:pStyle w:val="TableTextIEEE"/>
              <w:keepNext/>
            </w:pPr>
            <w:r>
              <w:rPr>
                <w:rFonts w:ascii="Times New Roman" w:hAnsi="Times New Roman" w:eastAsia="Times New Roman" w:cs="Times New Roman"/>
                <w:sz w:val="15"/>
              </w:rPr>
              <w:t>Hyperledger Fabric (consortium)</w:t>
            </w:r>
          </w:p>
        </w:tc>
        <w:tc>
          <w:tcPr>
            <w:tcW w:type="dxa" w:w="1368"/>
          </w:tcPr>
          <w:p>
            <w:pPr>
              <w:pStyle w:val="TableTextIEEE"/>
              <w:keepNext/>
            </w:pPr>
            <w:r>
              <w:rPr>
                <w:rFonts w:ascii="Times New Roman" w:hAnsi="Times New Roman" w:eastAsia="Times New Roman" w:cs="Times New Roman"/>
                <w:sz w:val="15"/>
              </w:rPr>
              <w:t>Hash of document and of identifier</w:t>
            </w:r>
          </w:p>
        </w:tc>
        <w:tc>
          <w:tcPr>
            <w:tcW w:type="dxa" w:w="1368"/>
          </w:tcPr>
          <w:p>
            <w:pPr>
              <w:pStyle w:val="TableTextIEEE"/>
              <w:keepNext/>
            </w:pPr>
            <w:r>
              <w:rPr>
                <w:rFonts w:ascii="Times New Roman" w:hAnsi="Times New Roman" w:eastAsia="Times New Roman" w:cs="Times New Roman"/>
                <w:sz w:val="15"/>
              </w:rPr>
              <w:t>Hiring documents from several issuer types</w:t>
            </w:r>
          </w:p>
        </w:tc>
      </w:tr>
      <w:tr>
        <w:trPr>
          <w:cantSplit/>
        </w:trPr>
        <w:tc>
          <w:tcPr>
            <w:tcW w:type="dxa" w:w="1152"/>
          </w:tcPr>
          <w:p>
            <w:pPr>
              <w:pStyle w:val="TableTextIEEE"/>
              <w:keepNext/>
            </w:pPr>
            <w:r>
              <w:rPr>
                <w:rFonts w:ascii="Times New Roman" w:hAnsi="Times New Roman" w:eastAsia="Times New Roman" w:cs="Times New Roman"/>
                <w:sz w:val="15"/>
              </w:rPr>
              <w:t>Blockcerts / MIT [7], [14]</w:t>
            </w:r>
          </w:p>
        </w:tc>
        <w:tc>
          <w:tcPr>
            <w:tcW w:type="dxa" w:w="1152"/>
          </w:tcPr>
          <w:p>
            <w:pPr>
              <w:pStyle w:val="TableTextIEEE"/>
              <w:keepNext/>
            </w:pPr>
            <w:r>
              <w:rPr>
                <w:rFonts w:ascii="Times New Roman" w:hAnsi="Times New Roman" w:eastAsia="Times New Roman" w:cs="Times New Roman"/>
                <w:sz w:val="15"/>
              </w:rPr>
              <w:t>Bitcoin (MIT pilot)</w:t>
            </w:r>
          </w:p>
        </w:tc>
        <w:tc>
          <w:tcPr>
            <w:tcW w:type="dxa" w:w="1368"/>
          </w:tcPr>
          <w:p>
            <w:pPr>
              <w:pStyle w:val="TableTextIEEE"/>
              <w:keepNext/>
            </w:pPr>
            <w:r>
              <w:rPr>
                <w:rFonts w:ascii="Times New Roman" w:hAnsi="Times New Roman" w:eastAsia="Times New Roman" w:cs="Times New Roman"/>
                <w:sz w:val="15"/>
              </w:rPr>
              <w:t>Certificate hash; Merkle batching</w:t>
            </w:r>
          </w:p>
        </w:tc>
        <w:tc>
          <w:tcPr>
            <w:tcW w:type="dxa" w:w="1368"/>
          </w:tcPr>
          <w:p>
            <w:pPr>
              <w:pStyle w:val="TableTextIEEE"/>
              <w:keepNext/>
            </w:pPr>
            <w:r>
              <w:rPr>
                <w:rFonts w:ascii="Times New Roman" w:hAnsi="Times New Roman" w:eastAsia="Times New Roman" w:cs="Times New Roman"/>
                <w:sz w:val="15"/>
              </w:rPr>
              <w:t>Academic credentials</w:t>
            </w:r>
          </w:p>
        </w:tc>
      </w:tr>
      <w:tr>
        <w:trPr>
          <w:cantSplit/>
        </w:trPr>
        <w:tc>
          <w:tcPr>
            <w:tcW w:type="dxa" w:w="1152"/>
          </w:tcPr>
          <w:p>
            <w:pPr>
              <w:pStyle w:val="TableTextIEEE"/>
              <w:keepNext/>
            </w:pPr>
            <w:r>
              <w:rPr>
                <w:rFonts w:ascii="Times New Roman" w:hAnsi="Times New Roman" w:eastAsia="Times New Roman" w:cs="Times New Roman"/>
                <w:sz w:val="15"/>
              </w:rPr>
              <w:t>EduCTX [8]</w:t>
            </w:r>
          </w:p>
        </w:tc>
        <w:tc>
          <w:tcPr>
            <w:tcW w:type="dxa" w:w="1152"/>
          </w:tcPr>
          <w:p>
            <w:pPr>
              <w:pStyle w:val="TableTextIEEE"/>
              <w:keepNext/>
            </w:pPr>
            <w:r>
              <w:rPr>
                <w:rFonts w:ascii="Times New Roman" w:hAnsi="Times New Roman" w:eastAsia="Times New Roman" w:cs="Times New Roman"/>
                <w:sz w:val="15"/>
              </w:rPr>
              <w:t>Ark-based platform</w:t>
            </w:r>
          </w:p>
        </w:tc>
        <w:tc>
          <w:tcPr>
            <w:tcW w:type="dxa" w:w="1368"/>
          </w:tcPr>
          <w:p>
            <w:pPr>
              <w:pStyle w:val="TableTextIEEE"/>
              <w:keepNext/>
            </w:pPr>
            <w:r>
              <w:rPr>
                <w:rFonts w:ascii="Times New Roman" w:hAnsi="Times New Roman" w:eastAsia="Times New Roman" w:cs="Times New Roman"/>
                <w:sz w:val="15"/>
              </w:rPr>
              <w:t>ECTS credit tokens</w:t>
            </w:r>
          </w:p>
        </w:tc>
        <w:tc>
          <w:tcPr>
            <w:tcW w:type="dxa" w:w="1368"/>
          </w:tcPr>
          <w:p>
            <w:pPr>
              <w:pStyle w:val="TableTextIEEE"/>
              <w:keepNext/>
            </w:pPr>
            <w:r>
              <w:rPr>
                <w:rFonts w:ascii="Times New Roman" w:hAnsi="Times New Roman" w:eastAsia="Times New Roman" w:cs="Times New Roman"/>
                <w:sz w:val="15"/>
              </w:rPr>
              <w:t>Higher-education credit</w:t>
            </w:r>
          </w:p>
        </w:tc>
      </w:tr>
      <w:tr>
        <w:trPr>
          <w:cantSplit/>
        </w:trPr>
        <w:tc>
          <w:tcPr>
            <w:tcW w:type="dxa" w:w="1152"/>
          </w:tcPr>
          <w:p>
            <w:pPr>
              <w:pStyle w:val="TableTextIEEE"/>
              <w:keepNext/>
            </w:pPr>
            <w:r>
              <w:rPr>
                <w:rFonts w:ascii="Times New Roman" w:hAnsi="Times New Roman" w:eastAsia="Times New Roman" w:cs="Times New Roman"/>
                <w:sz w:val="15"/>
              </w:rPr>
              <w:t xml:space="preserve">Gräther </w:t>
            </w:r>
            <w:r>
              <w:rPr>
                <w:rFonts w:ascii="Times New Roman" w:hAnsi="Times New Roman" w:eastAsia="Times New Roman" w:cs="Times New Roman"/>
                <w:i/>
                <w:sz w:val="15"/>
              </w:rPr>
              <w:t>et al.</w:t>
            </w:r>
            <w:r>
              <w:rPr>
                <w:rFonts w:ascii="Times New Roman" w:hAnsi="Times New Roman" w:eastAsia="Times New Roman" w:cs="Times New Roman"/>
                <w:sz w:val="15"/>
              </w:rPr>
              <w:t xml:space="preserve"> [9]</w:t>
            </w:r>
          </w:p>
        </w:tc>
        <w:tc>
          <w:tcPr>
            <w:tcW w:type="dxa" w:w="1152"/>
          </w:tcPr>
          <w:p>
            <w:pPr>
              <w:pStyle w:val="TableTextIEEE"/>
              <w:keepNext/>
            </w:pPr>
            <w:r>
              <w:rPr>
                <w:rFonts w:ascii="Times New Roman" w:hAnsi="Times New Roman" w:eastAsia="Times New Roman" w:cs="Times New Roman"/>
                <w:sz w:val="15"/>
              </w:rPr>
              <w:t>Ethereum</w:t>
            </w:r>
          </w:p>
        </w:tc>
        <w:tc>
          <w:tcPr>
            <w:tcW w:type="dxa" w:w="1368"/>
          </w:tcPr>
          <w:p>
            <w:pPr>
              <w:pStyle w:val="TableTextIEEE"/>
              <w:keepNext/>
            </w:pPr>
            <w:r>
              <w:rPr>
                <w:rFonts w:ascii="Times New Roman" w:hAnsi="Times New Roman" w:eastAsia="Times New Roman" w:cs="Times New Roman"/>
                <w:sz w:val="15"/>
              </w:rPr>
              <w:t>Certificate fingerprints</w:t>
            </w:r>
          </w:p>
        </w:tc>
        <w:tc>
          <w:tcPr>
            <w:tcW w:type="dxa" w:w="1368"/>
          </w:tcPr>
          <w:p>
            <w:pPr>
              <w:pStyle w:val="TableTextIEEE"/>
              <w:keepNext/>
            </w:pPr>
            <w:r>
              <w:rPr>
                <w:rFonts w:ascii="Times New Roman" w:hAnsi="Times New Roman" w:eastAsia="Times New Roman" w:cs="Times New Roman"/>
                <w:sz w:val="15"/>
              </w:rPr>
              <w:t>Issue, validate, share</w:t>
            </w:r>
          </w:p>
        </w:tc>
      </w:tr>
      <w:tr>
        <w:trPr>
          <w:cantSplit/>
        </w:trPr>
        <w:tc>
          <w:tcPr>
            <w:tcW w:type="dxa" w:w="1152"/>
          </w:tcPr>
          <w:p>
            <w:pPr>
              <w:pStyle w:val="TableTextIEEE"/>
              <w:keepNext/>
            </w:pPr>
            <w:r>
              <w:rPr>
                <w:rFonts w:ascii="Times New Roman" w:hAnsi="Times New Roman" w:eastAsia="Times New Roman" w:cs="Times New Roman"/>
                <w:sz w:val="15"/>
              </w:rPr>
              <w:t xml:space="preserve">Herbke </w:t>
            </w:r>
            <w:r>
              <w:rPr>
                <w:rFonts w:ascii="Times New Roman" w:hAnsi="Times New Roman" w:eastAsia="Times New Roman" w:cs="Times New Roman"/>
                <w:i/>
                <w:sz w:val="15"/>
              </w:rPr>
              <w:t>et al.</w:t>
            </w:r>
            <w:r>
              <w:rPr>
                <w:rFonts w:ascii="Times New Roman" w:hAnsi="Times New Roman" w:eastAsia="Times New Roman" w:cs="Times New Roman"/>
                <w:sz w:val="15"/>
              </w:rPr>
              <w:t xml:space="preserve"> [10]</w:t>
            </w:r>
          </w:p>
        </w:tc>
        <w:tc>
          <w:tcPr>
            <w:tcW w:type="dxa" w:w="1152"/>
          </w:tcPr>
          <w:p>
            <w:pPr>
              <w:pStyle w:val="TableTextIEEE"/>
              <w:keepNext/>
            </w:pPr>
            <w:r>
              <w:rPr>
                <w:rFonts w:ascii="Times New Roman" w:hAnsi="Times New Roman" w:eastAsia="Times New Roman" w:cs="Times New Roman"/>
                <w:sz w:val="15"/>
              </w:rPr>
              <w:t>EBSI</w:t>
            </w:r>
          </w:p>
        </w:tc>
        <w:tc>
          <w:tcPr>
            <w:tcW w:type="dxa" w:w="1368"/>
          </w:tcPr>
          <w:p>
            <w:pPr>
              <w:pStyle w:val="TableTextIEEE"/>
              <w:keepNext/>
            </w:pPr>
            <w:r>
              <w:rPr>
                <w:rFonts w:ascii="Times New Roman" w:hAnsi="Times New Roman" w:eastAsia="Times New Roman" w:cs="Times New Roman"/>
                <w:sz w:val="15"/>
              </w:rPr>
              <w:t>DID/VC infrastructure</w:t>
            </w:r>
          </w:p>
        </w:tc>
        <w:tc>
          <w:tcPr>
            <w:tcW w:type="dxa" w:w="1368"/>
          </w:tcPr>
          <w:p>
            <w:pPr>
              <w:pStyle w:val="TableTextIEEE"/>
              <w:keepNext/>
            </w:pPr>
            <w:r>
              <w:rPr>
                <w:rFonts w:ascii="Times New Roman" w:hAnsi="Times New Roman" w:eastAsia="Times New Roman" w:cs="Times New Roman"/>
                <w:sz w:val="15"/>
              </w:rPr>
              <w:t>Résumé lifecycle</w:t>
            </w:r>
          </w:p>
        </w:tc>
      </w:tr>
      <w:tr>
        <w:trPr>
          <w:cantSplit/>
        </w:trPr>
        <w:tc>
          <w:tcPr>
            <w:tcW w:type="dxa" w:w="1152"/>
          </w:tcPr>
          <w:p>
            <w:pPr>
              <w:pStyle w:val="TableTextIEEE"/>
            </w:pPr>
            <w:r>
              <w:rPr>
                <w:rFonts w:ascii="Times New Roman" w:hAnsi="Times New Roman" w:eastAsia="Times New Roman" w:cs="Times New Roman"/>
                <w:b/>
                <w:sz w:val="15"/>
              </w:rPr>
              <w:t>This work</w:t>
            </w:r>
          </w:p>
        </w:tc>
        <w:tc>
          <w:tcPr>
            <w:tcW w:type="dxa" w:w="1152"/>
          </w:tcPr>
          <w:p>
            <w:pPr>
              <w:pStyle w:val="TableTextIEEE"/>
            </w:pPr>
            <w:r>
              <w:rPr>
                <w:rFonts w:ascii="Times New Roman" w:hAnsi="Times New Roman" w:eastAsia="Times New Roman" w:cs="Times New Roman"/>
                <w:sz w:val="15"/>
              </w:rPr>
              <w:t>Polygon Amoy (public, EVM)</w:t>
            </w:r>
          </w:p>
        </w:tc>
        <w:tc>
          <w:tcPr>
            <w:tcW w:type="dxa" w:w="1368"/>
          </w:tcPr>
          <w:p>
            <w:pPr>
              <w:pStyle w:val="TableTextIEEE"/>
            </w:pPr>
            <w:r>
              <w:rPr>
                <w:rFonts w:ascii="Times New Roman" w:hAnsi="Times New Roman" w:eastAsia="Times New Roman" w:cs="Times New Roman"/>
                <w:sz w:val="15"/>
              </w:rPr>
              <w:t>Daily Merkle root; revocation flag</w:t>
            </w:r>
          </w:p>
        </w:tc>
        <w:tc>
          <w:tcPr>
            <w:tcW w:type="dxa" w:w="1368"/>
          </w:tcPr>
          <w:p>
            <w:pPr>
              <w:pStyle w:val="TableTextIEEE"/>
            </w:pPr>
            <w:r>
              <w:rPr>
                <w:rFonts w:ascii="Times New Roman" w:hAnsi="Times New Roman" w:eastAsia="Times New Roman" w:cs="Times New Roman"/>
                <w:sz w:val="15"/>
              </w:rPr>
              <w:t>Employment documents; dual approval; offline proof; matching</w:t>
            </w:r>
          </w:p>
        </w:tc>
      </w:tr>
    </w:tbl>
    <w:p>
      <w:pPr>
        <w:spacing w:after="80" w:line="80" w:lineRule="exact"/>
      </w:pPr>
    </w:p>
    <w:p>
      <w:pPr>
        <w:pStyle w:val="Heading2"/>
      </w:pPr>
      <w:r>
        <w:t>C. Verifiable Credentials</w:t>
      </w:r>
    </w:p>
    <w:p>
      <w:pPr>
        <w:pStyle w:val="BodyTextIEEE"/>
        <w:ind w:firstLine="0"/>
      </w:pPr>
      <w:r>
        <w:rPr>
          <w:rFonts w:ascii="Times New Roman" w:hAnsi="Times New Roman" w:eastAsia="Times New Roman" w:cs="Times New Roman"/>
        </w:rPr>
        <w:t>The W3C Verifiable Credentials Data Model 2.0 defines a JSON-LD structure for signed claims [15]. CareerVault’s credential file is VC-shaped: it declares the W3C v1 context beside a project-specific context and carries a project-specific proof type. We have not tested it against the W3C conformance suite and do not claim conformance.</w:t>
      </w:r>
    </w:p>
    <w:p>
      <w:pPr>
        <w:pStyle w:val="Heading2"/>
      </w:pPr>
      <w:r>
        <w:t>D. Explainable Ranking and Retrieval</w:t>
      </w:r>
    </w:p>
    <w:p>
      <w:pPr>
        <w:pStyle w:val="BodyTextIEEE"/>
        <w:ind w:firstLine="0"/>
      </w:pPr>
      <w:r>
        <w:rPr>
          <w:rFonts w:ascii="Times New Roman" w:hAnsi="Times New Roman" w:eastAsia="Times New Roman" w:cs="Times New Roman"/>
        </w:rPr>
        <w:t>SHAP assigns each feature an additive contribution to a single prediction [16], and TreeSHAP computes these exactly in polynomial time for tree ensembles [17]. LightGBM [18] exposes TreeSHAP natively. Sentence embeddings [19], here from the compact MiniLM family [20], support semantic retrieval, and the pgvector extension [21] provides exact and HNSW-based [22] nearest-neighbour search inside PostgreSQL. Annex III of the EU AI Act lists systems used to recruit or select natural persons among its high-risk use cases [23], which motivates explainability and consent in a matching feature.</w:t>
      </w:r>
    </w:p>
    <w:p>
      <w:pPr>
        <w:pStyle w:val="Heading1"/>
      </w:pPr>
      <w:r>
        <w:t>III. Requirements and Threat Model</w:t>
      </w:r>
    </w:p>
    <w:p>
      <w:pPr>
        <w:pStyle w:val="BodyTextIEEE"/>
        <w:ind w:firstLine="0"/>
      </w:pPr>
      <w:r>
        <w:rPr>
          <w:rFonts w:ascii="Times New Roman" w:hAnsi="Times New Roman" w:eastAsia="Times New Roman" w:cs="Times New Roman"/>
        </w:rPr>
        <w:t xml:space="preserve">The actors are the </w:t>
      </w:r>
      <w:r>
        <w:rPr>
          <w:rFonts w:ascii="Times New Roman" w:hAnsi="Times New Roman" w:eastAsia="Times New Roman" w:cs="Times New Roman"/>
          <w:i/>
        </w:rPr>
        <w:t>holder</w:t>
      </w:r>
      <w:r>
        <w:rPr>
          <w:rFonts w:ascii="Times New Roman" w:hAnsi="Times New Roman" w:eastAsia="Times New Roman" w:cs="Times New Roman"/>
        </w:rPr>
        <w:t xml:space="preserve"> (any authenticated user), the organisation’s </w:t>
      </w:r>
      <w:r>
        <w:rPr>
          <w:rFonts w:ascii="Times New Roman" w:hAnsi="Times New Roman" w:eastAsia="Times New Roman" w:cs="Times New Roman"/>
          <w:i/>
        </w:rPr>
        <w:t>manager</w:t>
      </w:r>
      <w:r>
        <w:rPr>
          <w:rFonts w:ascii="Times New Roman" w:hAnsi="Times New Roman" w:eastAsia="Times New Roman" w:cs="Times New Roman"/>
        </w:rPr>
        <w:t xml:space="preserve">, </w:t>
      </w:r>
      <w:r>
        <w:rPr>
          <w:rFonts w:ascii="Times New Roman" w:hAnsi="Times New Roman" w:eastAsia="Times New Roman" w:cs="Times New Roman"/>
          <w:i/>
        </w:rPr>
        <w:t>HR officer</w:t>
      </w:r>
      <w:r>
        <w:rPr>
          <w:rFonts w:ascii="Times New Roman" w:hAnsi="Times New Roman" w:eastAsia="Times New Roman" w:cs="Times New Roman"/>
        </w:rPr>
        <w:t xml:space="preserve"> and </w:t>
      </w:r>
      <w:r>
        <w:rPr>
          <w:rFonts w:ascii="Times New Roman" w:hAnsi="Times New Roman" w:eastAsia="Times New Roman" w:cs="Times New Roman"/>
          <w:i/>
        </w:rPr>
        <w:t>administrator</w:t>
      </w:r>
      <w:r>
        <w:rPr>
          <w:rFonts w:ascii="Times New Roman" w:hAnsi="Times New Roman" w:eastAsia="Times New Roman" w:cs="Times New Roman"/>
        </w:rPr>
        <w:t xml:space="preserve">, a </w:t>
      </w:r>
      <w:r>
        <w:rPr>
          <w:rFonts w:ascii="Times New Roman" w:hAnsi="Times New Roman" w:eastAsia="Times New Roman" w:cs="Times New Roman"/>
          <w:i/>
        </w:rPr>
        <w:t>recruiter</w:t>
      </w:r>
      <w:r>
        <w:rPr>
          <w:rFonts w:ascii="Times New Roman" w:hAnsi="Times New Roman" w:eastAsia="Times New Roman" w:cs="Times New Roman"/>
        </w:rPr>
        <w:t xml:space="preserve">, a </w:t>
      </w:r>
      <w:r>
        <w:rPr>
          <w:rFonts w:ascii="Times New Roman" w:hAnsi="Times New Roman" w:eastAsia="Times New Roman" w:cs="Times New Roman"/>
          <w:i/>
        </w:rPr>
        <w:t>verifier</w:t>
      </w:r>
      <w:r>
        <w:rPr>
          <w:rFonts w:ascii="Times New Roman" w:hAnsi="Times New Roman" w:eastAsia="Times New Roman" w:cs="Times New Roman"/>
        </w:rPr>
        <w:t xml:space="preserve"> (anonymous, or holding an API key), and the </w:t>
      </w:r>
      <w:r>
        <w:rPr>
          <w:rFonts w:ascii="Times New Roman" w:hAnsi="Times New Roman" w:eastAsia="Times New Roman" w:cs="Times New Roman"/>
          <w:i/>
        </w:rPr>
        <w:t>platform operator</w:t>
      </w:r>
      <w:r>
        <w:rPr>
          <w:rFonts w:ascii="Times New Roman" w:hAnsi="Times New Roman" w:eastAsia="Times New Roman" w:cs="Times New Roman"/>
        </w:rPr>
        <w:t>. We derived the following requirements.</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R1 Issuer authenticity:</w:t>
      </w:r>
      <w:r>
        <w:rPr>
          <w:rFonts w:ascii="Times New Roman" w:hAnsi="Times New Roman" w:eastAsia="Times New Roman" w:cs="Times New Roman"/>
        </w:rPr>
        <w:t xml:space="preserve"> a document must trace to a key that belongs to a domain-verified organisation.</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R2 Separation of duties:</w:t>
      </w:r>
      <w:r>
        <w:rPr>
          <w:rFonts w:ascii="Times New Roman" w:hAnsi="Times New Roman" w:eastAsia="Times New Roman" w:cs="Times New Roman"/>
        </w:rPr>
        <w:t xml:space="preserve"> no single member should be able to issue a document alone, except through one explicitly documented bulk path.</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R3 Tamper evidence:</w:t>
      </w:r>
      <w:r>
        <w:rPr>
          <w:rFonts w:ascii="Times New Roman" w:hAnsi="Times New Roman" w:eastAsia="Times New Roman" w:cs="Times New Roman"/>
        </w:rPr>
        <w:t xml:space="preserve"> any change to content after issuance must be detectable by a party that holds only the credential.</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R4 Operator independence:</w:t>
      </w:r>
      <w:r>
        <w:rPr>
          <w:rFonts w:ascii="Times New Roman" w:hAnsi="Times New Roman" w:eastAsia="Times New Roman" w:cs="Times New Roman"/>
        </w:rPr>
        <w:t xml:space="preserve"> verification must remain possible, offline, if the operator is unavailable.</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R5 Privacy:</w:t>
      </w:r>
      <w:r>
        <w:rPr>
          <w:rFonts w:ascii="Times New Roman" w:hAnsi="Times New Roman" w:eastAsia="Times New Roman" w:cs="Times New Roman"/>
        </w:rPr>
        <w:t xml:space="preserve"> anonymous verifiers see a minimum; data is encrypted at rest; a holder can erase their data.</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R6 Revocation and expiry:</w:t>
      </w:r>
      <w:r>
        <w:rPr>
          <w:rFonts w:ascii="Times New Roman" w:hAnsi="Times New Roman" w:eastAsia="Times New Roman" w:cs="Times New Roman"/>
        </w:rPr>
        <w:t xml:space="preserve"> an issuer can withdraw a document, and validity can lapse.</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R7 Consent and explanation:</w:t>
      </w:r>
      <w:r>
        <w:rPr>
          <w:rFonts w:ascii="Times New Roman" w:hAnsi="Times New Roman" w:eastAsia="Times New Roman" w:cs="Times New Roman"/>
        </w:rPr>
        <w:t xml:space="preserve"> document content is used for matching only with consent, and every score is explained.</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R8 Low marginal cost:</w:t>
      </w:r>
      <w:r>
        <w:rPr>
          <w:rFonts w:ascii="Times New Roman" w:hAnsi="Times New Roman" w:eastAsia="Times New Roman" w:cs="Times New Roman"/>
        </w:rPr>
        <w:t xml:space="preserve"> anchoring cost must not grow with the number of documents.</w:t>
      </w:r>
    </w:p>
    <w:p>
      <w:pPr>
        <w:pStyle w:val="BodyTextIEEE"/>
      </w:pPr>
      <w:r>
        <w:rPr>
          <w:rFonts w:ascii="Times New Roman" w:hAnsi="Times New Roman" w:eastAsia="Times New Roman" w:cs="Times New Roman"/>
        </w:rPr>
        <w:t xml:space="preserve">We consider six adversaries: A1, a dishonest holder who alters or forges a document; A2, a reader of database dumps or backups; A3, a database </w:t>
      </w:r>
      <w:r>
        <w:rPr>
          <w:rFonts w:ascii="Times New Roman" w:hAnsi="Times New Roman" w:eastAsia="Times New Roman" w:cs="Times New Roman"/>
          <w:i/>
        </w:rPr>
        <w:t>writer</w:t>
      </w:r>
      <w:r>
        <w:rPr>
          <w:rFonts w:ascii="Times New Roman" w:hAnsi="Times New Roman" w:eastAsia="Times New Roman" w:cs="Times New Roman"/>
        </w:rPr>
        <w:t xml:space="preserve"> without any application keys; A4, a compromised application server that holds the master key; A5, a malicious or colluding issuer insider; and A6, network faults between the verifier and the chain. Out of scope are the truthfulness of what an honest-looking issuer attests, compromise of a holder’s own device, and attacks on Polygon consensus.</w:t>
      </w:r>
    </w:p>
    <w:p>
      <w:pPr>
        <w:pStyle w:val="Heading1"/>
      </w:pPr>
      <w:r>
        <w:t>IV. System Architecture</w:t>
      </w:r>
    </w:p>
    <w:p>
      <w:pPr>
        <w:pStyle w:val="BodyTextIEEE"/>
        <w:ind w:firstLine="0"/>
      </w:pPr>
      <w:r>
        <w:rPr>
          <w:rFonts w:ascii="Times New Roman" w:hAnsi="Times New Roman" w:eastAsia="Times New Roman" w:cs="Times New Roman"/>
        </w:rPr>
        <w:t>CareerVault is a monorepo of six packages (Fig. 1): a React 19 / Vite 7 / Tailwind 4 single-page application with five role portals and a public verifier; a NestJS 11 API with 77 REST endpoints over PostgreSQL through Prisma 7, with the pgvector extension; a FastAPI service for skill extraction, embedding and ranking; a Solidity 0.8.24 contract built with Hardhat; Playwright end-to-end tests; and a standalone Node verifier. The code base is about 37,000 lines across TypeScript, Python and Solidity, and the Git history spans 143 commits from March to October 2026. The relational model has 21 tables.</w:t>
      </w:r>
    </w:p>
    <w:p>
      <w:pPr>
        <w:keepNext/>
        <w:spacing w:before="80"/>
        <w:jc w:val="center"/>
      </w:pPr>
      <w:r>
        <w:drawing>
          <wp:inline xmlns:a="http://schemas.openxmlformats.org/drawingml/2006/main" xmlns:pic="http://schemas.openxmlformats.org/drawingml/2006/picture">
            <wp:extent cx="3108960" cy="355953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3108960" cy="3559534"/>
                    </a:xfrm>
                    <a:prstGeom prst="rect"/>
                  </pic:spPr>
                </pic:pic>
              </a:graphicData>
            </a:graphic>
          </wp:inline>
        </w:drawing>
      </w:r>
    </w:p>
    <w:p>
      <w:pPr>
        <w:pStyle w:val="Caption"/>
      </w:pPr>
      <w:r>
        <w:rPr>
          <w:rFonts w:ascii="Times New Roman" w:hAnsi="Times New Roman" w:eastAsia="Times New Roman" w:cs="Times New Roman"/>
          <w:sz w:val="16"/>
        </w:rPr>
        <w:t>Fig. 1. System architecture. Both the verification module and the batch worker call the registry; the offline checker reads it directly.</w:t>
      </w:r>
    </w:p>
    <w:p>
      <w:pPr>
        <w:pStyle w:val="BodyTextIEEE"/>
      </w:pPr>
      <w:r>
        <w:rPr>
          <w:rFonts w:ascii="Times New Roman" w:hAnsi="Times New Roman" w:eastAsia="Times New Roman" w:cs="Times New Roman"/>
          <w:b/>
        </w:rPr>
        <w:t>Adapters.</w:t>
      </w:r>
      <w:r>
        <w:rPr>
          <w:rFonts w:ascii="Times New Roman" w:hAnsi="Times New Roman" w:eastAsia="Times New Roman" w:cs="Times New Roman"/>
        </w:rPr>
        <w:t xml:space="preserve"> Every heavy integration sits behind an interface with interchangeable drivers: key management, blockchain, payments, e-mail, object storage and DNS. Table II lists the implemented drivers and the values used in the deployed demonstration. All drivers except the blockchain one are local or mock implementations in that deployment, and the server logs a warning at boot for each.</w:t>
      </w:r>
    </w:p>
    <w:p>
      <w:pPr>
        <w:pStyle w:val="Caption"/>
        <w:keepNext/>
        <w:spacing w:after="60" w:before="120"/>
      </w:pPr>
      <w:r>
        <w:rPr>
          <w:smallCaps w:val="0"/>
          <w:sz w:val="16"/>
        </w:rPr>
        <w:t>TABLE II</w:t>
      </w:r>
      <w:r>
        <w:rPr>
          <w:smallCaps/>
        </w:rPr>
        <w:br/>
      </w:r>
      <w:r>
        <w:rPr>
          <w:rFonts w:ascii="Times New Roman" w:hAnsi="Times New Roman" w:eastAsia="Times New Roman" w:cs="Times New Roman"/>
          <w:smallCaps/>
          <w:sz w:val="16"/>
        </w:rPr>
        <w:t>Adapter drivers and the deployed demo configuration</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1440"/>
        <w:gridCol w:w="2232"/>
        <w:gridCol w:w="1368"/>
      </w:tblGrid>
      <w:tr>
        <w:trPr>
          <w:cantSplit/>
          <w:tblHeader/>
        </w:trPr>
        <w:tc>
          <w:tcPr>
            <w:tcW w:type="dxa" w:w="1440"/>
            <w:tcBorders>
              <w:bottom w:val="single" w:sz="6" w:space="0" w:color="000000"/>
            </w:tcBorders>
          </w:tcPr>
          <w:p>
            <w:pPr>
              <w:pStyle w:val="TableTextIEEE"/>
              <w:keepNext/>
            </w:pPr>
            <w:r>
              <w:rPr>
                <w:rFonts w:ascii="Times New Roman" w:hAnsi="Times New Roman" w:eastAsia="Times New Roman" w:cs="Times New Roman"/>
                <w:b/>
                <w:sz w:val="15"/>
              </w:rPr>
              <w:t>Concern</w:t>
            </w:r>
          </w:p>
        </w:tc>
        <w:tc>
          <w:tcPr>
            <w:tcW w:type="dxa" w:w="2232"/>
            <w:tcBorders>
              <w:bottom w:val="single" w:sz="6" w:space="0" w:color="000000"/>
            </w:tcBorders>
          </w:tcPr>
          <w:p>
            <w:pPr>
              <w:pStyle w:val="TableTextIEEE"/>
              <w:keepNext/>
            </w:pPr>
            <w:r>
              <w:rPr>
                <w:rFonts w:ascii="Times New Roman" w:hAnsi="Times New Roman" w:eastAsia="Times New Roman" w:cs="Times New Roman"/>
                <w:b/>
                <w:sz w:val="15"/>
              </w:rPr>
              <w:t>Implemented drivers</w:t>
            </w:r>
          </w:p>
        </w:tc>
        <w:tc>
          <w:tcPr>
            <w:tcW w:type="dxa" w:w="1368"/>
            <w:tcBorders>
              <w:bottom w:val="single" w:sz="6" w:space="0" w:color="000000"/>
            </w:tcBorders>
          </w:tcPr>
          <w:p>
            <w:pPr>
              <w:pStyle w:val="TableTextIEEE"/>
              <w:keepNext/>
            </w:pPr>
            <w:r>
              <w:rPr>
                <w:rFonts w:ascii="Times New Roman" w:hAnsi="Times New Roman" w:eastAsia="Times New Roman" w:cs="Times New Roman"/>
                <w:b/>
                <w:sz w:val="15"/>
              </w:rPr>
              <w:t>Demo deploy</w:t>
            </w:r>
          </w:p>
        </w:tc>
      </w:tr>
      <w:tr>
        <w:trPr>
          <w:cantSplit/>
        </w:trPr>
        <w:tc>
          <w:tcPr>
            <w:tcW w:type="dxa" w:w="1440"/>
          </w:tcPr>
          <w:p>
            <w:pPr>
              <w:pStyle w:val="TableTextIEEE"/>
              <w:keepNext/>
            </w:pPr>
            <w:r>
              <w:rPr>
                <w:rFonts w:ascii="Times New Roman" w:hAnsi="Times New Roman" w:eastAsia="Times New Roman" w:cs="Times New Roman"/>
                <w:sz w:val="15"/>
              </w:rPr>
              <w:t>Key management</w:t>
            </w:r>
          </w:p>
        </w:tc>
        <w:tc>
          <w:tcPr>
            <w:tcW w:type="dxa" w:w="2232"/>
          </w:tcPr>
          <w:p>
            <w:pPr>
              <w:pStyle w:val="TableTextIEEE"/>
              <w:keepNext/>
            </w:pPr>
            <w:r>
              <w:rPr>
                <w:rFonts w:ascii="Times New Roman" w:hAnsi="Times New Roman" w:eastAsia="Times New Roman" w:cs="Times New Roman"/>
                <w:sz w:val="15"/>
              </w:rPr>
              <w:t>local disk; Supabase bucket</w:t>
            </w:r>
          </w:p>
        </w:tc>
        <w:tc>
          <w:tcPr>
            <w:tcW w:type="dxa" w:w="1368"/>
          </w:tcPr>
          <w:p>
            <w:pPr>
              <w:pStyle w:val="TableTextIEEE"/>
              <w:keepNext/>
            </w:pPr>
            <w:r>
              <w:rPr>
                <w:rFonts w:ascii="Times New Roman" w:hAnsi="Times New Roman" w:eastAsia="Times New Roman" w:cs="Times New Roman"/>
                <w:sz w:val="15"/>
              </w:rPr>
              <w:t>Supabase bucket</w:t>
            </w:r>
          </w:p>
        </w:tc>
      </w:tr>
      <w:tr>
        <w:trPr>
          <w:cantSplit/>
        </w:trPr>
        <w:tc>
          <w:tcPr>
            <w:tcW w:type="dxa" w:w="1440"/>
          </w:tcPr>
          <w:p>
            <w:pPr>
              <w:pStyle w:val="TableTextIEEE"/>
              <w:keepNext/>
            </w:pPr>
            <w:r>
              <w:rPr>
                <w:rFonts w:ascii="Times New Roman" w:hAnsi="Times New Roman" w:eastAsia="Times New Roman" w:cs="Times New Roman"/>
                <w:sz w:val="15"/>
              </w:rPr>
              <w:t>Blockchain</w:t>
            </w:r>
          </w:p>
        </w:tc>
        <w:tc>
          <w:tcPr>
            <w:tcW w:type="dxa" w:w="2232"/>
          </w:tcPr>
          <w:p>
            <w:pPr>
              <w:pStyle w:val="TableTextIEEE"/>
              <w:keepNext/>
            </w:pPr>
            <w:r>
              <w:rPr>
                <w:rFonts w:ascii="Times New Roman" w:hAnsi="Times New Roman" w:eastAsia="Times New Roman" w:cs="Times New Roman"/>
                <w:sz w:val="15"/>
              </w:rPr>
              <w:t>local JSON ledger; Polygon Amoy</w:t>
            </w:r>
          </w:p>
        </w:tc>
        <w:tc>
          <w:tcPr>
            <w:tcW w:type="dxa" w:w="1368"/>
          </w:tcPr>
          <w:p>
            <w:pPr>
              <w:pStyle w:val="TableTextIEEE"/>
              <w:keepNext/>
            </w:pPr>
            <w:r>
              <w:rPr>
                <w:rFonts w:ascii="Times New Roman" w:hAnsi="Times New Roman" w:eastAsia="Times New Roman" w:cs="Times New Roman"/>
                <w:sz w:val="15"/>
              </w:rPr>
              <w:t>Polygon Amoy</w:t>
            </w:r>
          </w:p>
        </w:tc>
      </w:tr>
      <w:tr>
        <w:trPr>
          <w:cantSplit/>
        </w:trPr>
        <w:tc>
          <w:tcPr>
            <w:tcW w:type="dxa" w:w="1440"/>
          </w:tcPr>
          <w:p>
            <w:pPr>
              <w:pStyle w:val="TableTextIEEE"/>
              <w:keepNext/>
            </w:pPr>
            <w:r>
              <w:rPr>
                <w:rFonts w:ascii="Times New Roman" w:hAnsi="Times New Roman" w:eastAsia="Times New Roman" w:cs="Times New Roman"/>
                <w:sz w:val="15"/>
              </w:rPr>
              <w:t>Domain check</w:t>
            </w:r>
          </w:p>
        </w:tc>
        <w:tc>
          <w:tcPr>
            <w:tcW w:type="dxa" w:w="2232"/>
          </w:tcPr>
          <w:p>
            <w:pPr>
              <w:pStyle w:val="TableTextIEEE"/>
              <w:keepNext/>
            </w:pPr>
            <w:r>
              <w:rPr>
                <w:rFonts w:ascii="Times New Roman" w:hAnsi="Times New Roman" w:eastAsia="Times New Roman" w:cs="Times New Roman"/>
                <w:sz w:val="15"/>
              </w:rPr>
              <w:t>local (always passes); real DNS TXT</w:t>
            </w:r>
          </w:p>
        </w:tc>
        <w:tc>
          <w:tcPr>
            <w:tcW w:type="dxa" w:w="1368"/>
          </w:tcPr>
          <w:p>
            <w:pPr>
              <w:pStyle w:val="TableTextIEEE"/>
              <w:keepNext/>
            </w:pPr>
            <w:r>
              <w:rPr>
                <w:rFonts w:ascii="Times New Roman" w:hAnsi="Times New Roman" w:eastAsia="Times New Roman" w:cs="Times New Roman"/>
                <w:sz w:val="15"/>
              </w:rPr>
              <w:t>local (bypass)</w:t>
            </w:r>
          </w:p>
        </w:tc>
      </w:tr>
      <w:tr>
        <w:trPr>
          <w:cantSplit/>
        </w:trPr>
        <w:tc>
          <w:tcPr>
            <w:tcW w:type="dxa" w:w="1440"/>
          </w:tcPr>
          <w:p>
            <w:pPr>
              <w:pStyle w:val="TableTextIEEE"/>
              <w:keepNext/>
            </w:pPr>
            <w:r>
              <w:rPr>
                <w:rFonts w:ascii="Times New Roman" w:hAnsi="Times New Roman" w:eastAsia="Times New Roman" w:cs="Times New Roman"/>
                <w:sz w:val="15"/>
              </w:rPr>
              <w:t>Payments</w:t>
            </w:r>
          </w:p>
        </w:tc>
        <w:tc>
          <w:tcPr>
            <w:tcW w:type="dxa" w:w="2232"/>
          </w:tcPr>
          <w:p>
            <w:pPr>
              <w:pStyle w:val="TableTextIEEE"/>
              <w:keepNext/>
            </w:pPr>
            <w:r>
              <w:rPr>
                <w:rFonts w:ascii="Times New Roman" w:hAnsi="Times New Roman" w:eastAsia="Times New Roman" w:cs="Times New Roman"/>
                <w:sz w:val="15"/>
              </w:rPr>
              <w:t>mock only</w:t>
            </w:r>
          </w:p>
        </w:tc>
        <w:tc>
          <w:tcPr>
            <w:tcW w:type="dxa" w:w="1368"/>
          </w:tcPr>
          <w:p>
            <w:pPr>
              <w:pStyle w:val="TableTextIEEE"/>
              <w:keepNext/>
            </w:pPr>
            <w:r>
              <w:rPr>
                <w:rFonts w:ascii="Times New Roman" w:hAnsi="Times New Roman" w:eastAsia="Times New Roman" w:cs="Times New Roman"/>
                <w:sz w:val="15"/>
              </w:rPr>
              <w:t>mock</w:t>
            </w:r>
          </w:p>
        </w:tc>
      </w:tr>
      <w:tr>
        <w:trPr>
          <w:cantSplit/>
        </w:trPr>
        <w:tc>
          <w:tcPr>
            <w:tcW w:type="dxa" w:w="1440"/>
          </w:tcPr>
          <w:p>
            <w:pPr>
              <w:pStyle w:val="TableTextIEEE"/>
              <w:keepNext/>
            </w:pPr>
            <w:r>
              <w:rPr>
                <w:rFonts w:ascii="Times New Roman" w:hAnsi="Times New Roman" w:eastAsia="Times New Roman" w:cs="Times New Roman"/>
                <w:sz w:val="15"/>
              </w:rPr>
              <w:t>E-mail</w:t>
            </w:r>
          </w:p>
        </w:tc>
        <w:tc>
          <w:tcPr>
            <w:tcW w:type="dxa" w:w="2232"/>
          </w:tcPr>
          <w:p>
            <w:pPr>
              <w:pStyle w:val="TableTextIEEE"/>
              <w:keepNext/>
            </w:pPr>
            <w:r>
              <w:rPr>
                <w:rFonts w:ascii="Times New Roman" w:hAnsi="Times New Roman" w:eastAsia="Times New Roman" w:cs="Times New Roman"/>
                <w:sz w:val="15"/>
              </w:rPr>
              <w:t>console; Gmail SMTP</w:t>
            </w:r>
          </w:p>
        </w:tc>
        <w:tc>
          <w:tcPr>
            <w:tcW w:type="dxa" w:w="1368"/>
          </w:tcPr>
          <w:p>
            <w:pPr>
              <w:pStyle w:val="TableTextIEEE"/>
              <w:keepNext/>
            </w:pPr>
            <w:r>
              <w:rPr>
                <w:rFonts w:ascii="Times New Roman" w:hAnsi="Times New Roman" w:eastAsia="Times New Roman" w:cs="Times New Roman"/>
                <w:sz w:val="15"/>
              </w:rPr>
              <w:t>console</w:t>
            </w:r>
          </w:p>
        </w:tc>
      </w:tr>
      <w:tr>
        <w:trPr>
          <w:cantSplit/>
        </w:trPr>
        <w:tc>
          <w:tcPr>
            <w:tcW w:type="dxa" w:w="1440"/>
          </w:tcPr>
          <w:p>
            <w:pPr>
              <w:pStyle w:val="TableTextIEEE"/>
            </w:pPr>
            <w:r>
              <w:rPr>
                <w:rFonts w:ascii="Times New Roman" w:hAnsi="Times New Roman" w:eastAsia="Times New Roman" w:cs="Times New Roman"/>
                <w:sz w:val="15"/>
              </w:rPr>
              <w:t>File storage</w:t>
            </w:r>
          </w:p>
        </w:tc>
        <w:tc>
          <w:tcPr>
            <w:tcW w:type="dxa" w:w="2232"/>
          </w:tcPr>
          <w:p>
            <w:pPr>
              <w:pStyle w:val="TableTextIEEE"/>
            </w:pPr>
            <w:r>
              <w:rPr>
                <w:rFonts w:ascii="Times New Roman" w:hAnsi="Times New Roman" w:eastAsia="Times New Roman" w:cs="Times New Roman"/>
                <w:sz w:val="15"/>
              </w:rPr>
              <w:t>local disk; Supabase bucket</w:t>
            </w:r>
          </w:p>
        </w:tc>
        <w:tc>
          <w:tcPr>
            <w:tcW w:type="dxa" w:w="1368"/>
          </w:tcPr>
          <w:p>
            <w:pPr>
              <w:pStyle w:val="TableTextIEEE"/>
            </w:pPr>
            <w:r>
              <w:rPr>
                <w:rFonts w:ascii="Times New Roman" w:hAnsi="Times New Roman" w:eastAsia="Times New Roman" w:cs="Times New Roman"/>
                <w:sz w:val="15"/>
              </w:rPr>
              <w:t>Supabase bucket</w:t>
            </w:r>
          </w:p>
        </w:tc>
      </w:tr>
    </w:tbl>
    <w:p>
      <w:pPr>
        <w:spacing w:after="80" w:line="80" w:lineRule="exact"/>
      </w:pPr>
    </w:p>
    <w:p>
      <w:pPr>
        <w:pStyle w:val="BodyTextIEEE"/>
      </w:pPr>
      <w:r>
        <w:rPr>
          <w:rFonts w:ascii="Times New Roman" w:hAnsi="Times New Roman" w:eastAsia="Times New Roman" w:cs="Times New Roman"/>
          <w:b/>
        </w:rPr>
        <w:t>Identity and access.</w:t>
      </w:r>
      <w:r>
        <w:rPr>
          <w:rFonts w:ascii="Times New Roman" w:hAnsi="Times New Roman" w:eastAsia="Times New Roman" w:cs="Times New Roman"/>
        </w:rPr>
        <w:t xml:space="preserve"> Passwords are hashed with bcrypt at cost 12 [24]. Access tokens are RS256 JWTs [25] with a configurable lifetime (default one day); refresh tokens are opaque random strings stored only as SHA-256 digests, rotate on every use, and a reuse outside a short grace window revokes the whole token family. Cookie-authenticated refresh and logout routes are protected by a double-submit CSRF token in production, authentication routes are rate-limited per IP and per e-mail, and external signers without accounts use single-use, 15-minute magic links. Authorisation is by membership: every request loads the caller’s memberships (administrator, manager, HR, recruiter) and a recruiter has no ambient access to organisation documents.</w:t>
      </w:r>
    </w:p>
    <w:p>
      <w:pPr>
        <w:pStyle w:val="BodyTextIEEE"/>
      </w:pPr>
      <w:r>
        <w:rPr>
          <w:rFonts w:ascii="Times New Roman" w:hAnsi="Times New Roman" w:eastAsia="Times New Roman" w:cs="Times New Roman"/>
          <w:b/>
        </w:rPr>
        <w:t>Organisation onboarding.</w:t>
      </w:r>
      <w:r>
        <w:rPr>
          <w:rFonts w:ascii="Times New Roman" w:hAnsi="Times New Roman" w:eastAsia="Times New Roman" w:cs="Times New Roman"/>
        </w:rPr>
        <w:t xml:space="preserve"> A founder’s e-mail domain must equal the domain claimed. The administrator then proves control of the domain by publishing a TXT record containing a random token. Only after that check does the system generate the organisation’s RSA-2048 key pair, store the private key wrapped under a master key, record the public key, and record an identifier of the form </w:t>
      </w:r>
      <w:r>
        <w:rPr>
          <w:rFonts w:ascii="Courier New" w:hAnsi="Courier New" w:eastAsia="Courier New" w:cs="Courier New"/>
          <w:sz w:val="17"/>
        </w:rPr>
        <w:t>did:careervault:&lt;id&gt;</w:t>
      </w:r>
      <w:r>
        <w:rPr>
          <w:rFonts w:ascii="Times New Roman" w:hAnsi="Times New Roman" w:eastAsia="Times New Roman" w:cs="Times New Roman"/>
        </w:rPr>
        <w:t>; no DID resolution method is implemented.</w:t>
      </w:r>
    </w:p>
    <w:p>
      <w:pPr>
        <w:pStyle w:val="Heading1"/>
      </w:pPr>
      <w:r>
        <w:t>V. Credential Lifecycle and Protocol</w:t>
      </w:r>
    </w:p>
    <w:p>
      <w:pPr>
        <w:pStyle w:val="Heading2"/>
      </w:pPr>
      <w:r>
        <w:t>A. Lifecycle</w:t>
      </w:r>
    </w:p>
    <w:p>
      <w:pPr>
        <w:pStyle w:val="BodyTextIEEE"/>
        <w:ind w:firstLine="0"/>
      </w:pPr>
      <w:r>
        <w:rPr>
          <w:rFonts w:ascii="Times New Roman" w:hAnsi="Times New Roman" w:eastAsia="Times New Roman" w:cs="Times New Roman"/>
        </w:rPr>
        <w:t xml:space="preserve">A document moves through seven states (Fig. 2). A holder requests a document from an organisation; the server assigns a manager. Only the assigned manager can sign; there is no administrator override, because the signature attests to who vouched for the holder. Signing moves the document to PENDING_HR, where an HR officer either returns it (clearing its hash, salt and manager signature) or approves it. Approval requires an HR membership held by a </w:t>
      </w:r>
      <w:r>
        <w:rPr>
          <w:rFonts w:ascii="Times New Roman" w:hAnsi="Times New Roman" w:eastAsia="Times New Roman" w:cs="Times New Roman"/>
          <w:i/>
        </w:rPr>
        <w:t>different user</w:t>
      </w:r>
      <w:r>
        <w:rPr>
          <w:rFonts w:ascii="Times New Roman" w:hAnsi="Times New Roman" w:eastAsia="Times New Roman" w:cs="Times New Roman"/>
        </w:rPr>
        <w:t xml:space="preserve"> than the signer, and the document becomes ISSUED. A daily batch moves it to ANCHORED. An HR officer may revoke an issued or anchored document, and a daily job marks documents past their validity window EXPIRED (90 days for every type except letters of recommendation, which do not expire). All state transitions are written as status-guarded updates inside transactions, so two concurrent signs or approvals cannot both succeed, and every transition snapshots a version row and writes an audit entry.</w:t>
      </w:r>
    </w:p>
    <w:p>
      <w:pPr>
        <w:keepNext/>
        <w:spacing w:before="80"/>
        <w:jc w:val="center"/>
      </w:pPr>
      <w:r>
        <w:drawing>
          <wp:inline xmlns:a="http://schemas.openxmlformats.org/drawingml/2006/main" xmlns:pic="http://schemas.openxmlformats.org/drawingml/2006/picture">
            <wp:extent cx="3108960" cy="2270893"/>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1"/>
                    <a:stretch>
                      <a:fillRect/>
                    </a:stretch>
                  </pic:blipFill>
                  <pic:spPr>
                    <a:xfrm>
                      <a:off x="0" y="0"/>
                      <a:ext cx="3108960" cy="2270893"/>
                    </a:xfrm>
                    <a:prstGeom prst="rect"/>
                  </pic:spPr>
                </pic:pic>
              </a:graphicData>
            </a:graphic>
          </wp:inline>
        </w:drawing>
      </w:r>
    </w:p>
    <w:p>
      <w:pPr>
        <w:pStyle w:val="Caption"/>
      </w:pPr>
      <w:r>
        <w:rPr>
          <w:rFonts w:ascii="Times New Roman" w:hAnsi="Times New Roman" w:eastAsia="Times New Roman" w:cs="Times New Roman"/>
          <w:sz w:val="16"/>
        </w:rPr>
        <w:t>Fig. 2. Document lifecycle. REJECTED is an action returning to DRAFT, not a state; a manager can also return a request to the holder.</w:t>
      </w:r>
    </w:p>
    <w:p>
      <w:pPr>
        <w:pStyle w:val="Heading2"/>
      </w:pPr>
      <w:r>
        <w:t>B. Content Model</w:t>
      </w:r>
    </w:p>
    <w:p>
      <w:pPr>
        <w:pStyle w:val="BodyTextIEEE"/>
      </w:pPr>
      <w:r>
        <w:rPr>
          <w:rFonts w:ascii="Times New Roman" w:hAnsi="Times New Roman" w:eastAsia="Times New Roman" w:cs="Times New Roman"/>
        </w:rPr>
        <w:t xml:space="preserve">Three document types are supported, each with a server-side schema that whitelists fields and rejects unknown ones: experience/relieving letters, salary certificates and letters of recommendation. The schemas are India-first: salary amounts are integers in paise, with PAN masked and UAN recorded, and the server alone computes gross earnings, total deductions and net pay (net pay must not be negative). Date orderings are checked. The server injects a schema version, the issue date and a reference number, stamps the signer’s name and e-mail from the authenticated session rather than the request body, and drops empty values before hashing so that logically equal subjects serialise identically. The result is the flat </w:t>
      </w:r>
      <w:r>
        <w:rPr>
          <w:rFonts w:ascii="Times New Roman" w:hAnsi="Times New Roman" w:eastAsia="Times New Roman" w:cs="Times New Roman"/>
          <w:i/>
        </w:rPr>
        <w:t>credentialSubject</w:t>
      </w:r>
      <w:r>
        <w:rPr>
          <w:rFonts w:ascii="Times New Roman" w:hAnsi="Times New Roman" w:eastAsia="Times New Roman" w:cs="Times New Roman"/>
        </w:rPr>
        <w:t xml:space="preserve"> </w:t>
      </w:r>
      <w:r>
        <w:rPr>
          <w:rFonts w:ascii="Times New Roman" w:hAnsi="Times New Roman" w:eastAsia="Times New Roman" w:cs="Times New Roman"/>
          <w:i/>
        </w:rPr>
        <w:t>c</w:t>
      </w:r>
      <w:r>
        <w:rPr>
          <w:rFonts w:ascii="Times New Roman" w:hAnsi="Times New Roman" w:eastAsia="Times New Roman" w:cs="Times New Roman"/>
        </w:rPr>
        <w:t xml:space="preserve"> that is stored, hashed and signed.</w:t>
      </w:r>
    </w:p>
    <w:p>
      <w:pPr>
        <w:pStyle w:val="Heading2"/>
      </w:pPr>
      <w:r>
        <w:t>C. Hash and Role-Bound Signatures</w:t>
      </w:r>
    </w:p>
    <w:p>
      <w:pPr>
        <w:pStyle w:val="BodyTextIEEE"/>
      </w:pPr>
      <w:r>
        <w:rPr>
          <w:rFonts w:ascii="Times New Roman" w:hAnsi="Times New Roman" w:eastAsia="Times New Roman" w:cs="Times New Roman"/>
        </w:rPr>
        <w:t xml:space="preserve">At signing, a fresh 32-byte salt is drawn and the document hash is computed over the RFC 8785 canonical form [26] of </w:t>
      </w:r>
      <w:r>
        <w:rPr>
          <w:rFonts w:ascii="Times New Roman" w:hAnsi="Times New Roman" w:eastAsia="Times New Roman" w:cs="Times New Roman"/>
          <w:i/>
        </w:rPr>
        <w:t>c</w:t>
      </w:r>
      <w:r>
        <w:rPr>
          <w:rFonts w:ascii="Times New Roman" w:hAnsi="Times New Roman" w:eastAsia="Times New Roman" w:cs="Times New Roman"/>
        </w:rPr>
        <w:t>:</w:t>
      </w:r>
    </w:p>
    <w:p>
      <w:pPr>
        <w:pStyle w:val="EquationIEEE"/>
        <w:tabs>
          <w:tab w:pos="2520" w:val="center"/>
          <w:tab w:pos="5040" w:val="right"/>
        </w:tabs>
      </w:pPr>
      <w:r>
        <w:tab/>
      </w:r>
      <m:oMath>
        <m:r>
          <w:rPr>
            <w:rFonts w:ascii="Cambria Math" w:hAnsi="Cambria Math"/>
          </w:rPr>
          <m:t xml:space="preserve">h = </m:t>
        </m:r>
        <m:r>
          <m:rPr>
            <m:sty m:val="p"/>
          </m:rPr>
          <w:rPr>
            <w:rFonts w:ascii="Cambria Math" w:hAnsi="Cambria Math"/>
          </w:rPr>
          <m:t xml:space="preserve">SHA-256</m:t>
        </m:r>
        <m:r>
          <w:rPr>
            <w:rFonts w:ascii="Cambria Math" w:hAnsi="Cambria Math"/>
          </w:rPr>
          <m:t xml:space="preserve">( </m:t>
        </m:r>
        <m:r>
          <m:rPr>
            <m:sty m:val="p"/>
          </m:rPr>
          <w:rPr>
            <w:rFonts w:ascii="Cambria Math" w:hAnsi="Cambria Math"/>
          </w:rPr>
          <m:t xml:space="preserve">JCS</m:t>
        </m:r>
        <m:r>
          <w:rPr>
            <w:rFonts w:ascii="Cambria Math" w:hAnsi="Cambria Math"/>
          </w:rPr>
          <m:t xml:space="preserve">(c) ‖ salt )</m:t>
        </m:r>
      </m:oMath>
      <w:r>
        <w:rPr>
          <w:rFonts w:ascii="Times New Roman" w:hAnsi="Times New Roman"/>
        </w:rPr>
        <w:tab/>
        <w:t>(1)</w:t>
      </w:r>
    </w:p>
    <w:p>
      <w:pPr>
        <w:pStyle w:val="BodyTextIEEE"/>
      </w:pPr>
      <w:r>
        <w:rPr>
          <w:rFonts w:ascii="Times New Roman" w:hAnsi="Times New Roman" w:eastAsia="Times New Roman" w:cs="Times New Roman"/>
        </w:rPr>
        <w:t xml:space="preserve">The salt is appended as 64 hexadecimal characters of UTF-8 text. The manager and the HR officer do not sign </w:t>
      </w:r>
      <w:r>
        <w:rPr>
          <w:rFonts w:ascii="Times New Roman" w:hAnsi="Times New Roman" w:eastAsia="Times New Roman" w:cs="Times New Roman"/>
          <w:i/>
        </w:rPr>
        <w:t>h</w:t>
      </w:r>
      <w:r>
        <w:rPr>
          <w:rFonts w:ascii="Times New Roman" w:hAnsi="Times New Roman" w:eastAsia="Times New Roman" w:cs="Times New Roman"/>
        </w:rPr>
        <w:t xml:space="preserve">. RSASSA-PKCS1-v1_5 signatures [27] are deterministic, so two signatures over the same bare hash by the same key would be byte-identical and would prove nothing about who approved what. Each instead signs a statement that binds the hash to a role </w:t>
      </w:r>
      <w:r>
        <w:rPr>
          <w:rFonts w:ascii="Times New Roman" w:hAnsi="Times New Roman" w:eastAsia="Times New Roman" w:cs="Times New Roman"/>
          <w:i/>
        </w:rPr>
        <w:t>r</w:t>
      </w:r>
      <w:r>
        <w:rPr>
          <w:rFonts w:ascii="Times New Roman" w:hAnsi="Times New Roman" w:eastAsia="Times New Roman" w:cs="Times New Roman"/>
        </w:rPr>
        <w:t xml:space="preserve"> and a membership identifier </w:t>
      </w:r>
      <w:r>
        <w:rPr>
          <w:rFonts w:ascii="Times New Roman" w:hAnsi="Times New Roman" w:eastAsia="Times New Roman" w:cs="Times New Roman"/>
          <w:i/>
        </w:rPr>
        <w:t>m</w:t>
      </w:r>
      <w:r>
        <w:rPr>
          <w:rFonts w:ascii="Times New Roman" w:hAnsi="Times New Roman" w:eastAsia="Times New Roman" w:cs="Times New Roman"/>
        </w:rPr>
        <w:t>:</w:t>
      </w:r>
    </w:p>
    <w:p>
      <w:pPr>
        <w:pStyle w:val="EquationIEEE"/>
        <w:tabs>
          <w:tab w:pos="2520" w:val="center"/>
          <w:tab w:pos="5040" w:val="right"/>
        </w:tabs>
      </w:pPr>
      <w:r>
        <w:tab/>
      </w:r>
      <m:oMath>
        <m:sSub>
          <m:e>
            <m:r>
              <w:rPr>
                <w:rFonts w:ascii="Cambria Math" w:hAnsi="Cambria Math"/>
              </w:rPr>
              <m:t xml:space="preserve">s</m:t>
            </m:r>
          </m:e>
          <m:sub>
            <m:r>
              <w:rPr>
                <w:rFonts w:ascii="Cambria Math" w:hAnsi="Cambria Math"/>
              </w:rPr>
              <m:t xml:space="preserve">r</m:t>
            </m:r>
          </m:sub>
        </m:sSub>
        <m:r>
          <w:rPr>
            <w:rFonts w:ascii="Cambria Math" w:hAnsi="Cambria Math"/>
          </w:rPr>
          <m:t xml:space="preserve"> = </m:t>
        </m:r>
        <m:r>
          <m:rPr>
            <m:sty m:val="p"/>
          </m:rPr>
          <w:rPr>
            <w:rFonts w:ascii="Cambria Math" w:hAnsi="Cambria Math"/>
          </w:rPr>
          <m:t xml:space="preserve">SHA-256</m:t>
        </m:r>
        <m:r>
          <w:rPr>
            <w:rFonts w:ascii="Cambria Math" w:hAnsi="Cambria Math"/>
          </w:rPr>
          <m:t xml:space="preserve">( </m:t>
        </m:r>
        <m:r>
          <m:rPr>
            <m:sty m:val="p"/>
          </m:rPr>
          <w:rPr>
            <w:rFonts w:ascii="Cambria Math" w:hAnsi="Cambria Math"/>
          </w:rPr>
          <m:t xml:space="preserve">JCS</m:t>
        </m:r>
        <m:r>
          <w:rPr>
            <w:rFonts w:ascii="Cambria Math" w:hAnsi="Cambria Math"/>
          </w:rPr>
          <m:t xml:space="preserve">({v:1, h, r, m}) )</m:t>
        </m:r>
      </m:oMath>
      <w:r>
        <w:rPr>
          <w:rFonts w:ascii="Times New Roman" w:hAnsi="Times New Roman"/>
        </w:rPr>
        <w:tab/>
        <w:t>(2)</w:t>
      </w:r>
    </w:p>
    <w:p>
      <w:pPr>
        <w:pStyle w:val="BodyTextIEEE"/>
      </w:pPr>
      <w:r>
        <w:rPr>
          <w:rFonts w:ascii="Times New Roman" w:hAnsi="Times New Roman" w:eastAsia="Times New Roman" w:cs="Times New Roman"/>
        </w:rPr>
        <w:t>The signature is then</w:t>
      </w:r>
    </w:p>
    <w:p>
      <w:pPr>
        <w:pStyle w:val="EquationIEEE"/>
        <w:tabs>
          <w:tab w:pos="2520" w:val="center"/>
          <w:tab w:pos="5040" w:val="right"/>
        </w:tabs>
      </w:pPr>
      <w:r>
        <w:tab/>
      </w:r>
      <m:oMath>
        <m:sSub>
          <m:e>
            <m:r>
              <w:rPr>
                <w:rFonts w:ascii="Cambria Math" w:hAnsi="Cambria Math"/>
              </w:rPr>
              <m:t xml:space="preserve">σ</m:t>
            </m:r>
          </m:e>
          <m:sub>
            <m:r>
              <w:rPr>
                <w:rFonts w:ascii="Cambria Math" w:hAnsi="Cambria Math"/>
              </w:rPr>
              <m:t xml:space="preserve">r</m:t>
            </m:r>
          </m:sub>
        </m:sSub>
        <m:r>
          <w:rPr>
            <w:rFonts w:ascii="Cambria Math" w:hAnsi="Cambria Math"/>
          </w:rPr>
          <m:t xml:space="preserve"> = </m:t>
        </m:r>
        <m:r>
          <m:rPr>
            <m:sty m:val="p"/>
          </m:rPr>
          <w:rPr>
            <w:rFonts w:ascii="Cambria Math" w:hAnsi="Cambria Math"/>
          </w:rPr>
          <m:t xml:space="preserve">RS256</m:t>
        </m:r>
        <m:r>
          <w:rPr>
            <w:rFonts w:ascii="Cambria Math" w:hAnsi="Cambria Math"/>
          </w:rPr>
          <m:t xml:space="preserve">(sk, </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oMath>
      <w:r>
        <w:rPr>
          <w:rFonts w:ascii="Times New Roman" w:hAnsi="Times New Roman"/>
        </w:rPr>
        <w:tab/>
        <w:t>(3)</w:t>
      </w:r>
    </w:p>
    <w:p>
      <w:pPr>
        <w:pStyle w:val="BodyTextIEEE"/>
      </w:pPr>
      <w:r>
        <w:rPr>
          <w:rFonts w:ascii="Times New Roman" w:hAnsi="Times New Roman" w:eastAsia="Times New Roman" w:cs="Times New Roman"/>
        </w:rPr>
        <w:t xml:space="preserve">where the statement is a canonical JSON object with a version field, the hash, the role </w:t>
      </w:r>
      <w:r>
        <w:rPr>
          <w:rFonts w:ascii="Times New Roman" w:hAnsi="Times New Roman" w:eastAsia="Times New Roman" w:cs="Times New Roman"/>
          <w:i/>
        </w:rPr>
        <w:t>r</w:t>
      </w:r>
      <w:r>
        <w:rPr>
          <w:rFonts w:ascii="Times New Roman" w:hAnsi="Times New Roman" w:eastAsia="Times New Roman" w:cs="Times New Roman"/>
        </w:rPr>
        <w:t xml:space="preserve"> (MANAGER at signing, HR at approval) and the membership identifier </w:t>
      </w:r>
      <w:r>
        <w:rPr>
          <w:rFonts w:ascii="Times New Roman" w:hAnsi="Times New Roman" w:eastAsia="Times New Roman" w:cs="Times New Roman"/>
          <w:i/>
        </w:rPr>
        <w:t>m</w:t>
      </w:r>
      <w:r>
        <w:rPr>
          <w:rFonts w:ascii="Times New Roman" w:hAnsi="Times New Roman" w:eastAsia="Times New Roman" w:cs="Times New Roman"/>
        </w:rPr>
        <w:t xml:space="preserve">. Both signatures use the organisation’s single RSA-2048 key </w:t>
      </w:r>
      <w:r>
        <w:rPr>
          <w:rFonts w:ascii="Times New Roman" w:hAnsi="Times New Roman" w:eastAsia="Times New Roman" w:cs="Times New Roman"/>
          <w:i/>
        </w:rPr>
        <w:t>sk</w:t>
      </w:r>
      <w:r>
        <w:rPr>
          <w:rFonts w:ascii="Times New Roman" w:hAnsi="Times New Roman" w:eastAsia="Times New Roman" w:cs="Times New Roman"/>
        </w:rPr>
        <w:t xml:space="preserve">. Separation of duties is therefore </w:t>
      </w:r>
      <w:r>
        <w:rPr>
          <w:rFonts w:ascii="Times New Roman" w:hAnsi="Times New Roman" w:eastAsia="Times New Roman" w:cs="Times New Roman"/>
          <w:i/>
        </w:rPr>
        <w:t>enforced</w:t>
      </w:r>
      <w:r>
        <w:rPr>
          <w:rFonts w:ascii="Times New Roman" w:hAnsi="Times New Roman" w:eastAsia="Times New Roman" w:cs="Times New Roman"/>
        </w:rPr>
        <w:t xml:space="preserve"> by the application (only the assigned manager signs; the approver must be an HR member and a different user) and </w:t>
      </w:r>
      <w:r>
        <w:rPr>
          <w:rFonts w:ascii="Times New Roman" w:hAnsi="Times New Roman" w:eastAsia="Times New Roman" w:cs="Times New Roman"/>
          <w:i/>
        </w:rPr>
        <w:t>recorded</w:t>
      </w:r>
      <w:r>
        <w:rPr>
          <w:rFonts w:ascii="Times New Roman" w:hAnsi="Times New Roman" w:eastAsia="Times New Roman" w:cs="Times New Roman"/>
        </w:rPr>
        <w:t xml:space="preserve"> by the signed statements, but it is not proven by two independent keys; we return to this in Section X. At signing time the organisation’s public key is copied onto the document row and verification uses that pinned key, so replacing an organisation key later does not invalidate earlier documents. Approval refuses to co-sign if the key changed after the manager signed. Bulk issuance by HR creates documents directly in ISSUED; both statements then name the same acting HR member, which is honest in the record, and salary certificates are excluded from the bulk path because a single CSV row cannot express their breakdown.</w:t>
      </w:r>
    </w:p>
    <w:p>
      <w:pPr>
        <w:pStyle w:val="Heading2"/>
      </w:pPr>
      <w:r>
        <w:t>D. Merkle Batching and Anchoring</w:t>
      </w:r>
    </w:p>
    <w:p>
      <w:pPr>
        <w:pStyle w:val="BodyTextIEEE"/>
      </w:pPr>
      <w:r>
        <w:rPr>
          <w:rFonts w:ascii="Times New Roman" w:hAnsi="Times New Roman" w:eastAsia="Times New Roman" w:cs="Times New Roman"/>
        </w:rPr>
        <w:t xml:space="preserve">A worker runs at midnight India time, or on demand, over ISSUED documents that have no proof yet. It first applies an </w:t>
      </w:r>
      <w:r>
        <w:rPr>
          <w:rFonts w:ascii="Times New Roman" w:hAnsi="Times New Roman" w:eastAsia="Times New Roman" w:cs="Times New Roman"/>
          <w:i/>
        </w:rPr>
        <w:t>integrity gate</w:t>
      </w:r>
      <w:r>
        <w:rPr>
          <w:rFonts w:ascii="Times New Roman" w:hAnsi="Times New Roman" w:eastAsia="Times New Roman" w:cs="Times New Roman"/>
        </w:rPr>
        <w:t xml:space="preserve"> (Section VII-A): a candidate is included only if its encrypted fields open and its content and salt still recompute its hash; a failing document is skipped and left un-anchored for review. The remaining hashes become leaves of a SHA-256 Merkle tree whose interior nodes hash the bytewise-sorted pair of children:</w:t>
      </w:r>
    </w:p>
    <w:p>
      <w:pPr>
        <w:pStyle w:val="EquationIEEE"/>
        <w:tabs>
          <w:tab w:pos="2520" w:val="center"/>
          <w:tab w:pos="5040" w:val="right"/>
        </w:tabs>
      </w:pPr>
      <w:r>
        <w:tab/>
      </w:r>
      <m:oMath>
        <m:r>
          <w:rPr>
            <w:rFonts w:ascii="Cambria Math" w:hAnsi="Cambria Math"/>
          </w:rPr>
          <m:t xml:space="preserve">N = </m:t>
        </m:r>
        <m:r>
          <m:rPr>
            <m:sty m:val="p"/>
          </m:rPr>
          <w:rPr>
            <w:rFonts w:ascii="Cambria Math" w:hAnsi="Cambria Math"/>
          </w:rPr>
          <m:t xml:space="preserve">SHA-256</m:t>
        </m:r>
        <m:r>
          <w:rPr>
            <w:rFonts w:ascii="Cambria Math" w:hAnsi="Cambria Math"/>
          </w:rPr>
          <m:t xml:space="preserve">( min(a, b) ‖ max(a, b) )</m:t>
        </m:r>
      </m:oMath>
      <w:r>
        <w:rPr>
          <w:rFonts w:ascii="Times New Roman" w:hAnsi="Times New Roman"/>
        </w:rPr>
        <w:tab/>
        <w:t>(4)</w:t>
      </w:r>
    </w:p>
    <w:p>
      <w:pPr>
        <w:pStyle w:val="BodyTextIEEE"/>
      </w:pPr>
      <w:r>
        <w:rPr>
          <w:rFonts w:ascii="Times New Roman" w:hAnsi="Times New Roman" w:eastAsia="Times New Roman" w:cs="Times New Roman"/>
        </w:rPr>
        <w:t xml:space="preserve">Sorting makes proofs direction-free; an odd node is promoted rather than duplicated, and a single-leaf root equals the leaf. A proof for </w:t>
      </w:r>
      <w:r>
        <w:rPr>
          <w:rFonts w:ascii="Times New Roman" w:hAnsi="Times New Roman" w:eastAsia="Times New Roman" w:cs="Times New Roman"/>
          <w:i/>
        </w:rPr>
        <w:t>n</w:t>
      </w:r>
      <w:r>
        <w:rPr>
          <w:rFonts w:ascii="Times New Roman" w:hAnsi="Times New Roman" w:eastAsia="Times New Roman" w:cs="Times New Roman"/>
        </w:rPr>
        <w:t xml:space="preserve"> leaves contains ⌈log₂ </w:t>
      </w:r>
      <w:r>
        <w:rPr>
          <w:rFonts w:ascii="Times New Roman" w:hAnsi="Times New Roman" w:eastAsia="Times New Roman" w:cs="Times New Roman"/>
          <w:i/>
        </w:rPr>
        <w:t>n</w:t>
      </w:r>
      <w:r>
        <w:rPr>
          <w:rFonts w:ascii="Times New Roman" w:hAnsi="Times New Roman" w:eastAsia="Times New Roman" w:cs="Times New Roman"/>
        </w:rPr>
        <w:t>⌉ sibling hashes:</w:t>
      </w:r>
    </w:p>
    <w:p>
      <w:pPr>
        <w:pStyle w:val="EquationIEEE"/>
        <w:tabs>
          <w:tab w:pos="2520" w:val="center"/>
          <w:tab w:pos="5040" w:val="right"/>
        </w:tabs>
      </w:pPr>
      <w:r>
        <w:tab/>
      </w:r>
      <m:oMath>
        <m:r>
          <w:rPr>
            <w:rFonts w:ascii="Cambria Math" w:hAnsi="Cambria Math"/>
          </w:rPr>
          <m:t xml:space="preserve">|π| = 32 ⌈</m:t>
        </m:r>
        <m:r>
          <m:rPr>
            <m:sty m:val="p"/>
          </m:rPr>
          <w:rPr>
            <w:rFonts w:ascii="Cambria Math" w:hAnsi="Cambria Math"/>
          </w:rPr>
          <m:t xml:space="preserve">log</m:t>
        </m:r>
        <m:r>
          <w:rPr>
            <w:rFonts w:ascii="Cambria Math" w:hAnsi="Cambria Math"/>
          </w:rPr>
          <m:t xml:space="preserve">₂ n⌉ bytes</m:t>
        </m:r>
      </m:oMath>
      <w:r>
        <w:rPr>
          <w:rFonts w:ascii="Times New Roman" w:hAnsi="Times New Roman"/>
        </w:rPr>
        <w:tab/>
        <w:t>(5)</w:t>
      </w:r>
    </w:p>
    <w:p>
      <w:pPr>
        <w:pStyle w:val="BodyTextIEEE"/>
      </w:pPr>
      <w:r>
        <w:rPr>
          <w:rFonts w:ascii="Times New Roman" w:hAnsi="Times New Roman" w:eastAsia="Times New Roman" w:cs="Times New Roman"/>
        </w:rPr>
        <w:t xml:space="preserve">The root is anchored with </w:t>
      </w:r>
      <w:r>
        <w:rPr>
          <w:rFonts w:ascii="Courier New" w:hAnsi="Courier New" w:eastAsia="Courier New" w:cs="Courier New"/>
          <w:sz w:val="17"/>
        </w:rPr>
        <w:t>anchorRoot(root, n)</w:t>
      </w:r>
      <w:r>
        <w:rPr>
          <w:rFonts w:ascii="Times New Roman" w:hAnsi="Times New Roman" w:eastAsia="Times New Roman" w:cs="Times New Roman"/>
        </w:rPr>
        <w:t>. The batch asks the contract whether the exact root already exists and only then sends a transaction, so a retry after a partial failure never spends a second transaction; the database write (root row, one proof row per document, status flip) is a single transaction, and a document revoked in the meantime is not flipped back. The chain adapter bounds every RPC call to 10 s, waits for a configurable number of confirmations (default two), serialises writes from one wallet, floors the priority fee, and polls for receipts itself rather than relying on a library subscription that can crash the process on a failed poll. An in-process mutex prevents the cron job and a manual run from overlapping.</w:t>
      </w:r>
    </w:p>
    <w:p>
      <w:pPr>
        <w:keepNext/>
        <w:spacing w:before="80"/>
        <w:jc w:val="center"/>
      </w:pPr>
      <w:r>
        <w:drawing>
          <wp:inline xmlns:a="http://schemas.openxmlformats.org/drawingml/2006/main" xmlns:pic="http://schemas.openxmlformats.org/drawingml/2006/picture">
            <wp:extent cx="3108960" cy="3379304"/>
            <wp:docPr id="3" name="Picture 3"/>
            <wp:cNvGraphicFramePr>
              <a:graphicFrameLocks noChangeAspect="1"/>
            </wp:cNvGraphicFramePr>
            <a:graphic>
              <a:graphicData uri="http://schemas.openxmlformats.org/drawingml/2006/picture">
                <pic:pic>
                  <pic:nvPicPr>
                    <pic:cNvPr id="0" name="fig3_pipeline.png"/>
                    <pic:cNvPicPr/>
                  </pic:nvPicPr>
                  <pic:blipFill>
                    <a:blip r:embed="rId12"/>
                    <a:stretch>
                      <a:fillRect/>
                    </a:stretch>
                  </pic:blipFill>
                  <pic:spPr>
                    <a:xfrm>
                      <a:off x="0" y="0"/>
                      <a:ext cx="3108960" cy="3379304"/>
                    </a:xfrm>
                    <a:prstGeom prst="rect"/>
                  </pic:spPr>
                </pic:pic>
              </a:graphicData>
            </a:graphic>
          </wp:inline>
        </w:drawing>
      </w:r>
    </w:p>
    <w:p>
      <w:pPr>
        <w:pStyle w:val="Caption"/>
      </w:pPr>
      <w:r>
        <w:rPr>
          <w:rFonts w:ascii="Times New Roman" w:hAnsi="Times New Roman" w:eastAsia="Times New Roman" w:cs="Times New Roman"/>
          <w:sz w:val="16"/>
        </w:rPr>
        <w:t>Fig. 3. From content to anchored credential. Signing happens at issuance; the tree is built later, at batch time, so a document is usable before it is anchored.</w:t>
      </w:r>
    </w:p>
    <w:p>
      <w:pPr>
        <w:pStyle w:val="Heading2"/>
      </w:pPr>
      <w:r>
        <w:t>E. Public Verification</w:t>
      </w:r>
    </w:p>
    <w:p>
      <w:pPr>
        <w:pStyle w:val="BodyTextIEEE"/>
        <w:ind w:firstLine="0"/>
      </w:pPr>
      <w:r>
        <w:rPr>
          <w:rFonts w:ascii="Times New Roman" w:hAnsi="Times New Roman" w:eastAsia="Times New Roman" w:cs="Times New Roman"/>
        </w:rPr>
        <w:t>The verification endpoint recomputes every guarantee and trusts no stored validity flag. It returns six checks (Table III) and one of six verdicts. A document that is issued, hash-intact and dual-signed but not yet batched yields VERIFIED_PENDING_ANCHOR, which is a pass state; once its proof reconciles to a root that exists on-chain it becomes VERIFIED. If the chain is unreachable the anchor check degrades to pending, since the proof is still valid locally. Revocation and expiry are decided by the database, with the on-chain flag as a secondary note. The remaining verdicts are REVOKED, EXPIRED, INVALID and NOT_FOUND.</w:t>
      </w:r>
    </w:p>
    <w:p>
      <w:pPr>
        <w:pStyle w:val="Caption"/>
        <w:keepNext/>
        <w:spacing w:after="60" w:before="120"/>
      </w:pPr>
      <w:r>
        <w:rPr>
          <w:smallCaps w:val="0"/>
          <w:sz w:val="16"/>
        </w:rPr>
        <w:t>TABLE III</w:t>
      </w:r>
      <w:r>
        <w:rPr>
          <w:smallCaps/>
        </w:rPr>
        <w:br/>
      </w:r>
      <w:r>
        <w:rPr>
          <w:rFonts w:ascii="Times New Roman" w:hAnsi="Times New Roman" w:eastAsia="Times New Roman" w:cs="Times New Roman"/>
          <w:smallCaps/>
          <w:sz w:val="16"/>
        </w:rPr>
        <w:t>The six verification checks</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288"/>
        <w:gridCol w:w="1584"/>
        <w:gridCol w:w="3168"/>
      </w:tblGrid>
      <w:tr>
        <w:trPr>
          <w:cantSplit/>
          <w:tblHeader/>
        </w:trPr>
        <w:tc>
          <w:tcPr>
            <w:tcW w:type="dxa" w:w="288"/>
            <w:tcBorders>
              <w:bottom w:val="single" w:sz="6" w:space="0" w:color="000000"/>
            </w:tcBorders>
          </w:tcPr>
          <w:p>
            <w:pPr>
              <w:pStyle w:val="TableTextIEEE"/>
              <w:keepNext/>
            </w:pPr>
            <w:r>
              <w:rPr>
                <w:rFonts w:ascii="Times New Roman" w:hAnsi="Times New Roman" w:eastAsia="Times New Roman" w:cs="Times New Roman"/>
                <w:b/>
                <w:sz w:val="15"/>
              </w:rPr>
              <w:t>#</w:t>
            </w:r>
          </w:p>
        </w:tc>
        <w:tc>
          <w:tcPr>
            <w:tcW w:type="dxa" w:w="1584"/>
            <w:tcBorders>
              <w:bottom w:val="single" w:sz="6" w:space="0" w:color="000000"/>
            </w:tcBorders>
          </w:tcPr>
          <w:p>
            <w:pPr>
              <w:pStyle w:val="TableTextIEEE"/>
              <w:keepNext/>
            </w:pPr>
            <w:r>
              <w:rPr>
                <w:rFonts w:ascii="Times New Roman" w:hAnsi="Times New Roman" w:eastAsia="Times New Roman" w:cs="Times New Roman"/>
                <w:b/>
                <w:sz w:val="15"/>
              </w:rPr>
              <w:t>Check</w:t>
            </w:r>
          </w:p>
        </w:tc>
        <w:tc>
          <w:tcPr>
            <w:tcW w:type="dxa" w:w="3168"/>
            <w:tcBorders>
              <w:bottom w:val="single" w:sz="6" w:space="0" w:color="000000"/>
            </w:tcBorders>
          </w:tcPr>
          <w:p>
            <w:pPr>
              <w:pStyle w:val="TableTextIEEE"/>
              <w:keepNext/>
            </w:pPr>
            <w:r>
              <w:rPr>
                <w:rFonts w:ascii="Times New Roman" w:hAnsi="Times New Roman" w:eastAsia="Times New Roman" w:cs="Times New Roman"/>
                <w:b/>
                <w:sz w:val="15"/>
              </w:rPr>
              <w:t>Passes when</w:t>
            </w:r>
          </w:p>
        </w:tc>
      </w:tr>
      <w:tr>
        <w:trPr>
          <w:cantSplit/>
        </w:trPr>
        <w:tc>
          <w:tcPr>
            <w:tcW w:type="dxa" w:w="288"/>
          </w:tcPr>
          <w:p>
            <w:pPr>
              <w:pStyle w:val="TableTextIEEE"/>
              <w:keepNext/>
            </w:pPr>
            <w:r>
              <w:rPr>
                <w:rFonts w:ascii="Times New Roman" w:hAnsi="Times New Roman" w:eastAsia="Times New Roman" w:cs="Times New Roman"/>
                <w:sz w:val="15"/>
              </w:rPr>
              <w:t>1</w:t>
            </w:r>
          </w:p>
        </w:tc>
        <w:tc>
          <w:tcPr>
            <w:tcW w:type="dxa" w:w="1584"/>
          </w:tcPr>
          <w:p>
            <w:pPr>
              <w:pStyle w:val="TableTextIEEE"/>
              <w:keepNext/>
            </w:pPr>
            <w:r>
              <w:rPr>
                <w:rFonts w:ascii="Times New Roman" w:hAnsi="Times New Roman" w:eastAsia="Times New Roman" w:cs="Times New Roman"/>
                <w:sz w:val="15"/>
              </w:rPr>
              <w:t>Document on record</w:t>
            </w:r>
          </w:p>
        </w:tc>
        <w:tc>
          <w:tcPr>
            <w:tcW w:type="dxa" w:w="3168"/>
          </w:tcPr>
          <w:p>
            <w:pPr>
              <w:pStyle w:val="TableTextIEEE"/>
              <w:keepNext/>
            </w:pPr>
            <w:r>
              <w:rPr>
                <w:rFonts w:ascii="Times New Roman" w:hAnsi="Times New Roman" w:eastAsia="Times New Roman" w:cs="Times New Roman"/>
                <w:sz w:val="15"/>
              </w:rPr>
              <w:t>status is ISSUED, ANCHORED, REVOKED or EXPIRED</w:t>
            </w:r>
          </w:p>
        </w:tc>
      </w:tr>
      <w:tr>
        <w:trPr>
          <w:cantSplit/>
        </w:trPr>
        <w:tc>
          <w:tcPr>
            <w:tcW w:type="dxa" w:w="288"/>
          </w:tcPr>
          <w:p>
            <w:pPr>
              <w:pStyle w:val="TableTextIEEE"/>
              <w:keepNext/>
            </w:pPr>
            <w:r>
              <w:rPr>
                <w:rFonts w:ascii="Times New Roman" w:hAnsi="Times New Roman" w:eastAsia="Times New Roman" w:cs="Times New Roman"/>
                <w:sz w:val="15"/>
              </w:rPr>
              <w:t>2</w:t>
            </w:r>
          </w:p>
        </w:tc>
        <w:tc>
          <w:tcPr>
            <w:tcW w:type="dxa" w:w="1584"/>
          </w:tcPr>
          <w:p>
            <w:pPr>
              <w:pStyle w:val="TableTextIEEE"/>
              <w:keepNext/>
            </w:pPr>
            <w:r>
              <w:rPr>
                <w:rFonts w:ascii="Times New Roman" w:hAnsi="Times New Roman" w:eastAsia="Times New Roman" w:cs="Times New Roman"/>
                <w:sz w:val="15"/>
              </w:rPr>
              <w:t>Content integrity</w:t>
            </w:r>
          </w:p>
        </w:tc>
        <w:tc>
          <w:tcPr>
            <w:tcW w:type="dxa" w:w="3168"/>
          </w:tcPr>
          <w:p>
            <w:pPr>
              <w:pStyle w:val="TableTextIEEE"/>
              <w:keepNext/>
            </w:pPr>
            <w:r>
              <w:rPr>
                <w:rFonts w:ascii="Times New Roman" w:hAnsi="Times New Roman" w:eastAsia="Times New Roman" w:cs="Times New Roman"/>
                <w:sz w:val="15"/>
              </w:rPr>
              <w:t>SHA-256(JCS(</w:t>
            </w:r>
            <w:r>
              <w:rPr>
                <w:rFonts w:ascii="Times New Roman" w:hAnsi="Times New Roman" w:eastAsia="Times New Roman" w:cs="Times New Roman"/>
                <w:i/>
                <w:sz w:val="15"/>
              </w:rPr>
              <w:t>c</w:t>
            </w:r>
            <w:r>
              <w:rPr>
                <w:rFonts w:ascii="Times New Roman" w:hAnsi="Times New Roman" w:eastAsia="Times New Roman" w:cs="Times New Roman"/>
                <w:sz w:val="15"/>
              </w:rPr>
              <w:t>) ‖ salt) equals the stored hash</w:t>
            </w:r>
          </w:p>
        </w:tc>
      </w:tr>
      <w:tr>
        <w:trPr>
          <w:cantSplit/>
        </w:trPr>
        <w:tc>
          <w:tcPr>
            <w:tcW w:type="dxa" w:w="288"/>
          </w:tcPr>
          <w:p>
            <w:pPr>
              <w:pStyle w:val="TableTextIEEE"/>
              <w:keepNext/>
            </w:pPr>
            <w:r>
              <w:rPr>
                <w:rFonts w:ascii="Times New Roman" w:hAnsi="Times New Roman" w:eastAsia="Times New Roman" w:cs="Times New Roman"/>
                <w:sz w:val="15"/>
              </w:rPr>
              <w:t>3</w:t>
            </w:r>
          </w:p>
        </w:tc>
        <w:tc>
          <w:tcPr>
            <w:tcW w:type="dxa" w:w="1584"/>
          </w:tcPr>
          <w:p>
            <w:pPr>
              <w:pStyle w:val="TableTextIEEE"/>
              <w:keepNext/>
            </w:pPr>
            <w:r>
              <w:rPr>
                <w:rFonts w:ascii="Times New Roman" w:hAnsi="Times New Roman" w:eastAsia="Times New Roman" w:cs="Times New Roman"/>
                <w:sz w:val="15"/>
              </w:rPr>
              <w:t>Issuer signature</w:t>
            </w:r>
          </w:p>
        </w:tc>
        <w:tc>
          <w:tcPr>
            <w:tcW w:type="dxa" w:w="3168"/>
          </w:tcPr>
          <w:p>
            <w:pPr>
              <w:pStyle w:val="TableTextIEEE"/>
              <w:keepNext/>
            </w:pPr>
            <w:r>
              <w:rPr>
                <w:rFonts w:ascii="Times New Roman" w:hAnsi="Times New Roman" w:eastAsia="Times New Roman" w:cs="Times New Roman"/>
                <w:sz w:val="15"/>
              </w:rPr>
              <w:t xml:space="preserve">RS256 over </w:t>
            </w:r>
            <w:r>
              <w:rPr>
                <w:rFonts w:ascii="Times New Roman" w:hAnsi="Times New Roman" w:eastAsia="Times New Roman" w:cs="Times New Roman"/>
                <w:i/>
                <w:sz w:val="15"/>
              </w:rPr>
              <w:t>s</w:t>
            </w:r>
            <w:r>
              <w:rPr>
                <w:rFonts w:ascii="Times New Roman" w:hAnsi="Times New Roman" w:eastAsia="Times New Roman" w:cs="Times New Roman"/>
                <w:sz w:val="15"/>
                <w:vertAlign w:val="subscript"/>
              </w:rPr>
              <w:t>M</w:t>
            </w:r>
            <w:r>
              <w:rPr>
                <w:rFonts w:ascii="Times New Roman" w:hAnsi="Times New Roman" w:eastAsia="Times New Roman" w:cs="Times New Roman"/>
                <w:sz w:val="15"/>
              </w:rPr>
              <w:t xml:space="preserve"> verifies under the pinned key</w:t>
            </w:r>
          </w:p>
        </w:tc>
      </w:tr>
      <w:tr>
        <w:trPr>
          <w:cantSplit/>
        </w:trPr>
        <w:tc>
          <w:tcPr>
            <w:tcW w:type="dxa" w:w="288"/>
          </w:tcPr>
          <w:p>
            <w:pPr>
              <w:pStyle w:val="TableTextIEEE"/>
              <w:keepNext/>
            </w:pPr>
            <w:r>
              <w:rPr>
                <w:rFonts w:ascii="Times New Roman" w:hAnsi="Times New Roman" w:eastAsia="Times New Roman" w:cs="Times New Roman"/>
                <w:sz w:val="15"/>
              </w:rPr>
              <w:t>4</w:t>
            </w:r>
          </w:p>
        </w:tc>
        <w:tc>
          <w:tcPr>
            <w:tcW w:type="dxa" w:w="1584"/>
          </w:tcPr>
          <w:p>
            <w:pPr>
              <w:pStyle w:val="TableTextIEEE"/>
              <w:keepNext/>
            </w:pPr>
            <w:r>
              <w:rPr>
                <w:rFonts w:ascii="Times New Roman" w:hAnsi="Times New Roman" w:eastAsia="Times New Roman" w:cs="Times New Roman"/>
                <w:sz w:val="15"/>
              </w:rPr>
              <w:t>Approver signature</w:t>
            </w:r>
          </w:p>
        </w:tc>
        <w:tc>
          <w:tcPr>
            <w:tcW w:type="dxa" w:w="3168"/>
          </w:tcPr>
          <w:p>
            <w:pPr>
              <w:pStyle w:val="TableTextIEEE"/>
              <w:keepNext/>
            </w:pPr>
            <w:r>
              <w:rPr>
                <w:rFonts w:ascii="Times New Roman" w:hAnsi="Times New Roman" w:eastAsia="Times New Roman" w:cs="Times New Roman"/>
                <w:sz w:val="15"/>
              </w:rPr>
              <w:t xml:space="preserve">RS256 over </w:t>
            </w:r>
            <w:r>
              <w:rPr>
                <w:rFonts w:ascii="Times New Roman" w:hAnsi="Times New Roman" w:eastAsia="Times New Roman" w:cs="Times New Roman"/>
                <w:i/>
                <w:sz w:val="15"/>
              </w:rPr>
              <w:t>s</w:t>
            </w:r>
            <w:r>
              <w:rPr>
                <w:rFonts w:ascii="Times New Roman" w:hAnsi="Times New Roman" w:eastAsia="Times New Roman" w:cs="Times New Roman"/>
                <w:sz w:val="15"/>
                <w:vertAlign w:val="subscript"/>
              </w:rPr>
              <w:t>H</w:t>
            </w:r>
            <w:r>
              <w:rPr>
                <w:rFonts w:ascii="Times New Roman" w:hAnsi="Times New Roman" w:eastAsia="Times New Roman" w:cs="Times New Roman"/>
                <w:sz w:val="15"/>
              </w:rPr>
              <w:t xml:space="preserve"> verifies under the same key</w:t>
            </w:r>
          </w:p>
        </w:tc>
      </w:tr>
      <w:tr>
        <w:trPr>
          <w:cantSplit/>
        </w:trPr>
        <w:tc>
          <w:tcPr>
            <w:tcW w:type="dxa" w:w="288"/>
          </w:tcPr>
          <w:p>
            <w:pPr>
              <w:pStyle w:val="TableTextIEEE"/>
              <w:keepNext/>
            </w:pPr>
            <w:r>
              <w:rPr>
                <w:rFonts w:ascii="Times New Roman" w:hAnsi="Times New Roman" w:eastAsia="Times New Roman" w:cs="Times New Roman"/>
                <w:sz w:val="15"/>
              </w:rPr>
              <w:t>5</w:t>
            </w:r>
          </w:p>
        </w:tc>
        <w:tc>
          <w:tcPr>
            <w:tcW w:type="dxa" w:w="1584"/>
          </w:tcPr>
          <w:p>
            <w:pPr>
              <w:pStyle w:val="TableTextIEEE"/>
              <w:keepNext/>
            </w:pPr>
            <w:r>
              <w:rPr>
                <w:rFonts w:ascii="Times New Roman" w:hAnsi="Times New Roman" w:eastAsia="Times New Roman" w:cs="Times New Roman"/>
                <w:sz w:val="15"/>
              </w:rPr>
              <w:t>Blockchain anchor</w:t>
            </w:r>
          </w:p>
        </w:tc>
        <w:tc>
          <w:tcPr>
            <w:tcW w:type="dxa" w:w="3168"/>
          </w:tcPr>
          <w:p>
            <w:pPr>
              <w:pStyle w:val="TableTextIEEE"/>
              <w:keepNext/>
            </w:pPr>
            <w:r>
              <w:rPr>
                <w:rFonts w:ascii="Times New Roman" w:hAnsi="Times New Roman" w:eastAsia="Times New Roman" w:cs="Times New Roman"/>
                <w:sz w:val="15"/>
              </w:rPr>
              <w:t>proof folds to the stored root and the root exists on-chain; pending if unbatched or chain unreachable</w:t>
            </w:r>
          </w:p>
        </w:tc>
      </w:tr>
      <w:tr>
        <w:trPr>
          <w:cantSplit/>
        </w:trPr>
        <w:tc>
          <w:tcPr>
            <w:tcW w:type="dxa" w:w="288"/>
          </w:tcPr>
          <w:p>
            <w:pPr>
              <w:pStyle w:val="TableTextIEEE"/>
            </w:pPr>
            <w:r>
              <w:rPr>
                <w:rFonts w:ascii="Times New Roman" w:hAnsi="Times New Roman" w:eastAsia="Times New Roman" w:cs="Times New Roman"/>
                <w:sz w:val="15"/>
              </w:rPr>
              <w:t>6</w:t>
            </w:r>
          </w:p>
        </w:tc>
        <w:tc>
          <w:tcPr>
            <w:tcW w:type="dxa" w:w="1584"/>
          </w:tcPr>
          <w:p>
            <w:pPr>
              <w:pStyle w:val="TableTextIEEE"/>
            </w:pPr>
            <w:r>
              <w:rPr>
                <w:rFonts w:ascii="Times New Roman" w:hAnsi="Times New Roman" w:eastAsia="Times New Roman" w:cs="Times New Roman"/>
                <w:sz w:val="15"/>
              </w:rPr>
              <w:t>Revocation status</w:t>
            </w:r>
          </w:p>
        </w:tc>
        <w:tc>
          <w:tcPr>
            <w:tcW w:type="dxa" w:w="3168"/>
          </w:tcPr>
          <w:p>
            <w:pPr>
              <w:pStyle w:val="TableTextIEEE"/>
            </w:pPr>
            <w:r>
              <w:rPr>
                <w:rFonts w:ascii="Times New Roman" w:hAnsi="Times New Roman" w:eastAsia="Times New Roman" w:cs="Times New Roman"/>
                <w:sz w:val="15"/>
              </w:rPr>
              <w:t>not revoked and not past expiry</w:t>
            </w:r>
          </w:p>
        </w:tc>
      </w:tr>
    </w:tbl>
    <w:p>
      <w:pPr>
        <w:spacing w:after="80" w:line="80" w:lineRule="exact"/>
      </w:pPr>
    </w:p>
    <w:p>
      <w:pPr>
        <w:pStyle w:val="BodyTextIEEE"/>
      </w:pPr>
      <w:r>
        <w:rPr>
          <w:rFonts w:ascii="Times New Roman" w:hAnsi="Times New Roman" w:eastAsia="Times New Roman" w:cs="Times New Roman"/>
        </w:rPr>
        <w:t>An anonymous lookup by hash discloses only a per-type allow-list of non-sensitive fields: salary amounts, PAN/UAN and contact details are withheld, and for salary certificates so is the holder’s name. A holder who creates a share link opts that one document into full disclosure. Links carry a 192-bit random token, an optional expiry and view cap (the cap is claimed atomically so concurrent views cannot exceed it), and are deactivated on revocation. Every public verification writes an audit entry in a compliance tier that the retention job never purges.</w:t>
      </w:r>
    </w:p>
    <w:p>
      <w:pPr>
        <w:pStyle w:val="Heading2"/>
      </w:pPr>
      <w:r>
        <w:t>F. Offline Credential and Verifiers</w:t>
      </w:r>
    </w:p>
    <w:p>
      <w:pPr>
        <w:pStyle w:val="BodyTextIEEE"/>
        <w:ind w:firstLine="0"/>
      </w:pPr>
      <w:r>
        <w:rPr>
          <w:rFonts w:ascii="Times New Roman" w:hAnsi="Times New Roman" w:eastAsia="Times New Roman" w:cs="Times New Roman"/>
        </w:rPr>
        <w:t xml:space="preserve">The holder can download a credential file containing the subject, salt, hash, both signatures with the member identifiers, the issuer public key, the Merkle proof path, the anchor (chain id, contract address, transaction hash, block) and a textual verification procedure. A standalone Node verifier, which imports nothing from the server, and an equivalent in-browser checker perform five steps: recompute the hash; verify both statements; fold the Merkle proof; check that the contract address is the pinned registry for the chain; and call </w:t>
      </w:r>
      <w:r>
        <w:rPr>
          <w:rFonts w:ascii="Courier New" w:hAnsi="Courier New" w:eastAsia="Courier New" w:cs="Courier New"/>
          <w:sz w:val="17"/>
        </w:rPr>
        <w:t>verifyRoot</w:t>
      </w:r>
      <w:r>
        <w:rPr>
          <w:rFonts w:ascii="Times New Roman" w:hAnsi="Times New Roman" w:eastAsia="Times New Roman" w:cs="Times New Roman"/>
        </w:rPr>
        <w:t xml:space="preserve"> and </w:t>
      </w:r>
      <w:r>
        <w:rPr>
          <w:rFonts w:ascii="Courier New" w:hAnsi="Courier New" w:eastAsia="Courier New" w:cs="Courier New"/>
          <w:sz w:val="17"/>
        </w:rPr>
        <w:t>isRevoked</w:t>
      </w:r>
      <w:r>
        <w:rPr>
          <w:rFonts w:ascii="Times New Roman" w:hAnsi="Times New Roman" w:eastAsia="Times New Roman" w:cs="Times New Roman"/>
        </w:rPr>
        <w:t xml:space="preserve"> and confirm the </w:t>
      </w:r>
      <w:r>
        <w:rPr>
          <w:rFonts w:ascii="Courier New" w:hAnsi="Courier New" w:eastAsia="Courier New" w:cs="Courier New"/>
          <w:sz w:val="17"/>
        </w:rPr>
        <w:t>RootAnchored</w:t>
      </w:r>
      <w:r>
        <w:rPr>
          <w:rFonts w:ascii="Times New Roman" w:hAnsi="Times New Roman" w:eastAsia="Times New Roman" w:cs="Times New Roman"/>
        </w:rPr>
        <w:t xml:space="preserve"> event of the anchoring transaction. The pinned registry for chain 80002 is built into the verifier, and known-answer vectors cover RFC 8785 key ordering (including the UTF-16 code-unit case that naive implementations get wrong), the document hash, the role statements and a Merkle tree.</w:t>
      </w:r>
    </w:p>
    <w:p>
      <w:pPr>
        <w:pStyle w:val="BodyTextIEEE"/>
      </w:pPr>
      <w:r>
        <w:rPr>
          <w:rFonts w:ascii="Times New Roman" w:hAnsi="Times New Roman" w:eastAsia="Times New Roman" w:cs="Times New Roman"/>
        </w:rPr>
        <w:t xml:space="preserve">What a passing verification does </w:t>
      </w:r>
      <w:r>
        <w:rPr>
          <w:rFonts w:ascii="Times New Roman" w:hAnsi="Times New Roman" w:eastAsia="Times New Roman" w:cs="Times New Roman"/>
          <w:i/>
        </w:rPr>
        <w:t>not</w:t>
      </w:r>
      <w:r>
        <w:rPr>
          <w:rFonts w:ascii="Times New Roman" w:hAnsi="Times New Roman" w:eastAsia="Times New Roman" w:cs="Times New Roman"/>
        </w:rPr>
        <w:t xml:space="preserve"> prove is that the embedded issuer key belongs to the named organisation: anyone can assemble a credential with their own key and any issuer name. This is the same class of weakness that Baldi </w:t>
      </w:r>
      <w:r>
        <w:rPr>
          <w:rFonts w:ascii="Times New Roman" w:hAnsi="Times New Roman" w:eastAsia="Times New Roman" w:cs="Times New Roman"/>
          <w:i/>
        </w:rPr>
        <w:t>et al.</w:t>
      </w:r>
      <w:r>
        <w:rPr>
          <w:rFonts w:ascii="Times New Roman" w:hAnsi="Times New Roman" w:eastAsia="Times New Roman" w:cs="Times New Roman"/>
        </w:rPr>
        <w:t xml:space="preserve"> found in Blockcerts [14]. The verifier therefore prints the key’s SHA-256 fingerprint for an out-of-band comparison, and states this limit in its final summary line. The PDF issued to the holder is a human-readable artefact only and is not used for verification.</w:t>
      </w:r>
    </w:p>
    <w:p>
      <w:pPr>
        <w:pStyle w:val="BodyTextIEEE"/>
      </w:pPr>
      <w:r>
        <w:rPr>
          <w:rFonts w:ascii="Times New Roman" w:hAnsi="Times New Roman" w:eastAsia="Times New Roman" w:cs="Times New Roman"/>
          <w:b/>
        </w:rPr>
        <w:t>Verifier API.</w:t>
      </w:r>
      <w:r>
        <w:rPr>
          <w:rFonts w:ascii="Times New Roman" w:hAnsi="Times New Roman" w:eastAsia="Times New Roman" w:cs="Times New Roman"/>
        </w:rPr>
        <w:t xml:space="preserve"> Third parties can verify up to 100 hashes per request with an </w:t>
      </w:r>
      <w:r>
        <w:rPr>
          <w:rFonts w:ascii="Courier New" w:hAnsi="Courier New" w:eastAsia="Courier New" w:cs="Courier New"/>
          <w:sz w:val="17"/>
        </w:rPr>
        <w:t>X-API-Key</w:t>
      </w:r>
      <w:r>
        <w:rPr>
          <w:rFonts w:ascii="Times New Roman" w:hAnsi="Times New Roman" w:eastAsia="Times New Roman" w:cs="Times New Roman"/>
        </w:rPr>
        <w:t>. Keys are stored as digests, require a live subscription of the matching tier, and are limited to 100 (basic) or 1,000 (enterprise) requests per minute and 1,000 or 50,000 per month, enforced by an in-memory sliding window and a persisted counter. Billing is mocked.</w:t>
      </w:r>
    </w:p>
    <w:p>
      <w:pPr>
        <w:pStyle w:val="Heading1"/>
      </w:pPr>
      <w:r>
        <w:t>VI. The AnchorRegistry Contract</w:t>
      </w:r>
    </w:p>
    <w:p>
      <w:pPr>
        <w:pStyle w:val="BodyTextIEEE"/>
        <w:ind w:firstLine="0"/>
      </w:pPr>
      <w:r>
        <w:rPr>
          <w:rFonts w:ascii="Courier New" w:hAnsi="Courier New" w:eastAsia="Courier New" w:cs="Courier New"/>
          <w:sz w:val="17"/>
        </w:rPr>
        <w:t>AnchorRegistry</w:t>
      </w:r>
      <w:r>
        <w:rPr>
          <w:rFonts w:ascii="Times New Roman" w:hAnsi="Times New Roman" w:eastAsia="Times New Roman" w:cs="Times New Roman"/>
        </w:rPr>
        <w:t xml:space="preserve"> (Solidity 0.8.24, optimiser 200 runs) stores a record for each anchored root (root, document count, timestamp, submitting address) and a revocation timestamp for each revoked document hash. </w:t>
      </w:r>
      <w:r>
        <w:rPr>
          <w:rFonts w:ascii="Courier New" w:hAnsi="Courier New" w:eastAsia="Courier New" w:cs="Courier New"/>
          <w:sz w:val="17"/>
        </w:rPr>
        <w:t>anchorRoot</w:t>
      </w:r>
      <w:r>
        <w:rPr>
          <w:rFonts w:ascii="Times New Roman" w:hAnsi="Times New Roman" w:eastAsia="Times New Roman" w:cs="Times New Roman"/>
        </w:rPr>
        <w:t xml:space="preserve"> reverts on a zero root or one that already exists, so anchors are append-only; </w:t>
      </w:r>
      <w:r>
        <w:rPr>
          <w:rFonts w:ascii="Courier New" w:hAnsi="Courier New" w:eastAsia="Courier New" w:cs="Courier New"/>
          <w:sz w:val="17"/>
        </w:rPr>
        <w:t>batchAnchorRoots</w:t>
      </w:r>
      <w:r>
        <w:rPr>
          <w:rFonts w:ascii="Times New Roman" w:hAnsi="Times New Roman" w:eastAsia="Times New Roman" w:cs="Times New Roman"/>
        </w:rPr>
        <w:t xml:space="preserve">, </w:t>
      </w:r>
      <w:r>
        <w:rPr>
          <w:rFonts w:ascii="Courier New" w:hAnsi="Courier New" w:eastAsia="Courier New" w:cs="Courier New"/>
          <w:sz w:val="17"/>
        </w:rPr>
        <w:t>revokeDocument</w:t>
      </w:r>
      <w:r>
        <w:rPr>
          <w:rFonts w:ascii="Times New Roman" w:hAnsi="Times New Roman" w:eastAsia="Times New Roman" w:cs="Times New Roman"/>
        </w:rPr>
        <w:t xml:space="preserve"> (idempotent) and </w:t>
      </w:r>
      <w:r>
        <w:rPr>
          <w:rFonts w:ascii="Courier New" w:hAnsi="Courier New" w:eastAsia="Courier New" w:cs="Courier New"/>
          <w:sz w:val="17"/>
        </w:rPr>
        <w:t>batchRevokeDocuments</w:t>
      </w:r>
      <w:r>
        <w:rPr>
          <w:rFonts w:ascii="Times New Roman" w:hAnsi="Times New Roman" w:eastAsia="Times New Roman" w:cs="Times New Roman"/>
        </w:rPr>
        <w:t xml:space="preserve"> complement it. The deployer is the owner and first authorised anchor; the owner can add and remove authorised anchors and transfer ownership. Reads (</w:t>
      </w:r>
      <w:r>
        <w:rPr>
          <w:rFonts w:ascii="Courier New" w:hAnsi="Courier New" w:eastAsia="Courier New" w:cs="Courier New"/>
          <w:sz w:val="17"/>
        </w:rPr>
        <w:t>verifyRoot</w:t>
      </w:r>
      <w:r>
        <w:rPr>
          <w:rFonts w:ascii="Times New Roman" w:hAnsi="Times New Roman" w:eastAsia="Times New Roman" w:cs="Times New Roman"/>
        </w:rPr>
        <w:t xml:space="preserve">, </w:t>
      </w:r>
      <w:r>
        <w:rPr>
          <w:rFonts w:ascii="Courier New" w:hAnsi="Courier New" w:eastAsia="Courier New" w:cs="Courier New"/>
          <w:sz w:val="17"/>
        </w:rPr>
        <w:t>isRevoked</w:t>
      </w:r>
      <w:r>
        <w:rPr>
          <w:rFonts w:ascii="Times New Roman" w:hAnsi="Times New Roman" w:eastAsia="Times New Roman" w:cs="Times New Roman"/>
        </w:rPr>
        <w:t xml:space="preserve">, counters) are public, and events are emitted for anchoring, revocation, authorisation and ownership changes. No document data is stored on-chain. The contract is deployed on Polygon Amoy (chain id 80002) [28] at </w:t>
      </w:r>
      <w:r>
        <w:rPr>
          <w:rFonts w:ascii="Courier New" w:hAnsi="Courier New" w:eastAsia="Courier New" w:cs="Courier New"/>
          <w:sz w:val="17"/>
        </w:rPr>
        <w:t>0x483f9FF4B7444c60e93808Ea0e9b72a14b8Cb12a</w:t>
      </w:r>
      <w:r>
        <w:rPr>
          <w:rFonts w:ascii="Times New Roman" w:hAnsi="Times New Roman" w:eastAsia="Times New Roman" w:cs="Times New Roman"/>
        </w:rPr>
        <w:t>, in block 48,502,677 on 25 September 2026, per the repository’s deployment record; its source is published on the Amoy block explorer. We could not independently query the chain from the environment used to prepare this paper. Eighteen Hardhat tests cover anchoring, duplicate rejection, zero-value rejection, batch length mismatch, idempotent revocation, authorisation, ownership transfer and views.</w:t>
      </w:r>
    </w:p>
    <w:p>
      <w:pPr>
        <w:pStyle w:val="Heading1"/>
      </w:pPr>
      <w:r>
        <w:t>VII. Privacy and Data Protection</w:t>
      </w:r>
    </w:p>
    <w:p>
      <w:pPr>
        <w:pStyle w:val="Heading2"/>
      </w:pPr>
      <w:r>
        <w:t>A. Envelope Encryption with Fail-Closed Reads</w:t>
      </w:r>
    </w:p>
    <w:p>
      <w:pPr>
        <w:pStyle w:val="BodyTextIEEE"/>
        <w:ind w:firstLine="0"/>
      </w:pPr>
      <w:r>
        <w:rPr>
          <w:rFonts w:ascii="Times New Roman" w:hAnsi="Times New Roman" w:eastAsia="Times New Roman" w:cs="Times New Roman"/>
        </w:rPr>
        <w:t xml:space="preserve">A Prisma query extension seals selected columns before they are written and opens them on read, so services handle plaintext while Postgres holds only envelopes (Table IV). A master key (an environment secret) is expanded with HKDF-SHA256 [29] into a field key-encryption key; each write generates a fresh 256-bit data key, wrapped under that key; and each value is sealed with AES-256-GCM [30] using a fresh 96-bit IV and the field name as associated data, so a ciphertext moved to a differently named field fails authentication. The envelope has the form </w:t>
      </w:r>
      <w:r>
        <w:rPr>
          <w:rFonts w:ascii="Courier New" w:hAnsi="Courier New" w:eastAsia="Courier New" w:cs="Courier New"/>
          <w:sz w:val="17"/>
        </w:rPr>
        <w:t>cvenc:v1:&lt;keyId&gt;:&lt;wrappedKey&gt;:&lt;iv&gt;:&lt;ciphertext||tag&gt;</w:t>
      </w:r>
      <w:r>
        <w:rPr>
          <w:rFonts w:ascii="Times New Roman" w:hAnsi="Times New Roman" w:eastAsia="Times New Roman" w:cs="Times New Roman"/>
        </w:rPr>
        <w:t>. At start-up the cipher round-trips a canary value and refuses to boot if the key store cannot decrypt what it encrypts.</w:t>
      </w:r>
    </w:p>
    <w:p>
      <w:pPr>
        <w:pStyle w:val="Caption"/>
        <w:keepNext/>
        <w:spacing w:after="60" w:before="120"/>
      </w:pPr>
      <w:r>
        <w:rPr>
          <w:smallCaps w:val="0"/>
          <w:sz w:val="16"/>
        </w:rPr>
        <w:t>TABLE IV</w:t>
      </w:r>
      <w:r>
        <w:rPr>
          <w:smallCaps/>
        </w:rPr>
        <w:br/>
      </w:r>
      <w:r>
        <w:rPr>
          <w:rFonts w:ascii="Times New Roman" w:hAnsi="Times New Roman" w:eastAsia="Times New Roman" w:cs="Times New Roman"/>
          <w:smallCaps/>
          <w:sz w:val="16"/>
        </w:rPr>
        <w:t>Protection of stored data</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2880"/>
        <w:gridCol w:w="2160"/>
      </w:tblGrid>
      <w:tr>
        <w:trPr>
          <w:cantSplit/>
          <w:tblHeader/>
        </w:trPr>
        <w:tc>
          <w:tcPr>
            <w:tcW w:type="dxa" w:w="2880"/>
            <w:tcBorders>
              <w:bottom w:val="single" w:sz="6" w:space="0" w:color="000000"/>
            </w:tcBorders>
          </w:tcPr>
          <w:p>
            <w:pPr>
              <w:pStyle w:val="TableTextIEEE"/>
              <w:keepNext/>
            </w:pPr>
            <w:r>
              <w:rPr>
                <w:rFonts w:ascii="Times New Roman" w:hAnsi="Times New Roman" w:eastAsia="Times New Roman" w:cs="Times New Roman"/>
                <w:b/>
                <w:sz w:val="15"/>
              </w:rPr>
              <w:t>Data</w:t>
            </w:r>
          </w:p>
        </w:tc>
        <w:tc>
          <w:tcPr>
            <w:tcW w:type="dxa" w:w="2160"/>
            <w:tcBorders>
              <w:bottom w:val="single" w:sz="6" w:space="0" w:color="000000"/>
            </w:tcBorders>
          </w:tcPr>
          <w:p>
            <w:pPr>
              <w:pStyle w:val="TableTextIEEE"/>
              <w:keepNext/>
            </w:pPr>
            <w:r>
              <w:rPr>
                <w:rFonts w:ascii="Times New Roman" w:hAnsi="Times New Roman" w:eastAsia="Times New Roman" w:cs="Times New Roman"/>
                <w:b/>
                <w:sz w:val="15"/>
              </w:rPr>
              <w:t>Protection</w:t>
            </w:r>
          </w:p>
        </w:tc>
      </w:tr>
      <w:tr>
        <w:trPr>
          <w:cantSplit/>
        </w:trPr>
        <w:tc>
          <w:tcPr>
            <w:tcW w:type="dxa" w:w="2880"/>
          </w:tcPr>
          <w:p>
            <w:pPr>
              <w:pStyle w:val="TableTextIEEE"/>
              <w:keepNext/>
            </w:pPr>
            <w:r>
              <w:rPr>
                <w:rFonts w:ascii="Times New Roman" w:hAnsi="Times New Roman" w:eastAsia="Times New Roman" w:cs="Times New Roman"/>
                <w:sz w:val="15"/>
              </w:rPr>
              <w:t>Document content, salt, both signatures, revocation reason; version content and change summary</w:t>
            </w:r>
          </w:p>
        </w:tc>
        <w:tc>
          <w:tcPr>
            <w:tcW w:type="dxa" w:w="2160"/>
          </w:tcPr>
          <w:p>
            <w:pPr>
              <w:pStyle w:val="TableTextIEEE"/>
              <w:keepNext/>
            </w:pPr>
            <w:r>
              <w:rPr>
                <w:rFonts w:ascii="Times New Roman" w:hAnsi="Times New Roman" w:eastAsia="Times New Roman" w:cs="Times New Roman"/>
                <w:sz w:val="15"/>
              </w:rPr>
              <w:t>AES-256-GCM envelope (field-bound AAD)</w:t>
            </w:r>
          </w:p>
        </w:tc>
      </w:tr>
      <w:tr>
        <w:trPr>
          <w:cantSplit/>
        </w:trPr>
        <w:tc>
          <w:tcPr>
            <w:tcW w:type="dxa" w:w="2880"/>
          </w:tcPr>
          <w:p>
            <w:pPr>
              <w:pStyle w:val="TableTextIEEE"/>
              <w:keepNext/>
            </w:pPr>
            <w:r>
              <w:rPr>
                <w:rFonts w:ascii="Times New Roman" w:hAnsi="Times New Roman" w:eastAsia="Times New Roman" w:cs="Times New Roman"/>
                <w:sz w:val="15"/>
              </w:rPr>
              <w:t>Issued PDFs</w:t>
            </w:r>
          </w:p>
        </w:tc>
        <w:tc>
          <w:tcPr>
            <w:tcW w:type="dxa" w:w="2160"/>
          </w:tcPr>
          <w:p>
            <w:pPr>
              <w:pStyle w:val="TableTextIEEE"/>
              <w:keepNext/>
            </w:pPr>
            <w:r>
              <w:rPr>
                <w:rFonts w:ascii="Times New Roman" w:hAnsi="Times New Roman" w:eastAsia="Times New Roman" w:cs="Times New Roman"/>
                <w:sz w:val="15"/>
              </w:rPr>
              <w:t>Encrypted before storage; deleted on erasure</w:t>
            </w:r>
          </w:p>
        </w:tc>
      </w:tr>
      <w:tr>
        <w:trPr>
          <w:cantSplit/>
        </w:trPr>
        <w:tc>
          <w:tcPr>
            <w:tcW w:type="dxa" w:w="2880"/>
          </w:tcPr>
          <w:p>
            <w:pPr>
              <w:pStyle w:val="TableTextIEEE"/>
              <w:keepNext/>
            </w:pPr>
            <w:r>
              <w:rPr>
                <w:rFonts w:ascii="Times New Roman" w:hAnsi="Times New Roman" w:eastAsia="Times New Roman" w:cs="Times New Roman"/>
                <w:sz w:val="15"/>
              </w:rPr>
              <w:t>Organisation private keys</w:t>
            </w:r>
          </w:p>
        </w:tc>
        <w:tc>
          <w:tcPr>
            <w:tcW w:type="dxa" w:w="2160"/>
          </w:tcPr>
          <w:p>
            <w:pPr>
              <w:pStyle w:val="TableTextIEEE"/>
              <w:keepNext/>
            </w:pPr>
            <w:r>
              <w:rPr>
                <w:rFonts w:ascii="Times New Roman" w:hAnsi="Times New Roman" w:eastAsia="Times New Roman" w:cs="Times New Roman"/>
                <w:sz w:val="15"/>
              </w:rPr>
              <w:t>AES-256-GCM, wrapped under the master key</w:t>
            </w:r>
          </w:p>
        </w:tc>
      </w:tr>
      <w:tr>
        <w:trPr>
          <w:cantSplit/>
        </w:trPr>
        <w:tc>
          <w:tcPr>
            <w:tcW w:type="dxa" w:w="2880"/>
          </w:tcPr>
          <w:p>
            <w:pPr>
              <w:pStyle w:val="TableTextIEEE"/>
              <w:keepNext/>
            </w:pPr>
            <w:r>
              <w:rPr>
                <w:rFonts w:ascii="Times New Roman" w:hAnsi="Times New Roman" w:eastAsia="Times New Roman" w:cs="Times New Roman"/>
                <w:sz w:val="15"/>
              </w:rPr>
              <w:t>Passwords; refresh and magic-link tokens; API keys</w:t>
            </w:r>
          </w:p>
        </w:tc>
        <w:tc>
          <w:tcPr>
            <w:tcW w:type="dxa" w:w="2160"/>
          </w:tcPr>
          <w:p>
            <w:pPr>
              <w:pStyle w:val="TableTextIEEE"/>
              <w:keepNext/>
            </w:pPr>
            <w:r>
              <w:rPr>
                <w:rFonts w:ascii="Times New Roman" w:hAnsi="Times New Roman" w:eastAsia="Times New Roman" w:cs="Times New Roman"/>
                <w:sz w:val="15"/>
              </w:rPr>
              <w:t>bcrypt (cost 12); SHA-256 digests</w:t>
            </w:r>
          </w:p>
        </w:tc>
      </w:tr>
      <w:tr>
        <w:trPr>
          <w:cantSplit/>
        </w:trPr>
        <w:tc>
          <w:tcPr>
            <w:tcW w:type="dxa" w:w="2880"/>
          </w:tcPr>
          <w:p>
            <w:pPr>
              <w:pStyle w:val="TableTextIEEE"/>
            </w:pPr>
            <w:r>
              <w:rPr>
                <w:rFonts w:ascii="Times New Roman" w:hAnsi="Times New Roman" w:eastAsia="Times New Roman" w:cs="Times New Roman"/>
                <w:i/>
                <w:sz w:val="15"/>
              </w:rPr>
              <w:t>Plaintext by design:</w:t>
            </w:r>
            <w:r>
              <w:rPr>
                <w:rFonts w:ascii="Times New Roman" w:hAnsi="Times New Roman" w:eastAsia="Times New Roman" w:cs="Times New Roman"/>
                <w:sz w:val="15"/>
              </w:rPr>
              <w:t xml:space="preserve"> document hash, signing public key, e-mail, names, embeddings, audit and notification text</w:t>
            </w:r>
          </w:p>
        </w:tc>
        <w:tc>
          <w:tcPr>
            <w:tcW w:type="dxa" w:w="2160"/>
          </w:tcPr>
          <w:p>
            <w:pPr>
              <w:pStyle w:val="TableTextIEEE"/>
            </w:pPr>
            <w:r>
              <w:rPr>
                <w:rFonts w:ascii="Times New Roman" w:hAnsi="Times New Roman" w:eastAsia="Times New Roman" w:cs="Times New Roman"/>
                <w:sz w:val="15"/>
              </w:rPr>
              <w:t>None at application level (provider disk encryption only)</w:t>
            </w:r>
          </w:p>
        </w:tc>
      </w:tr>
    </w:tbl>
    <w:p>
      <w:pPr>
        <w:spacing w:after="80" w:line="80" w:lineRule="exact"/>
      </w:pPr>
    </w:p>
    <w:p>
      <w:pPr>
        <w:pStyle w:val="BodyTextIEEE"/>
      </w:pPr>
      <w:r>
        <w:rPr>
          <w:rFonts w:ascii="Times New Roman" w:hAnsi="Times New Roman" w:eastAsia="Times New Roman" w:cs="Times New Roman"/>
        </w:rPr>
        <w:t xml:space="preserve">In production the server runs with </w:t>
      </w:r>
      <w:r>
        <w:rPr>
          <w:rFonts w:ascii="Times New Roman" w:hAnsi="Times New Roman" w:eastAsia="Times New Roman" w:cs="Times New Roman"/>
          <w:i/>
        </w:rPr>
        <w:t>strict reads</w:t>
      </w:r>
      <w:r>
        <w:rPr>
          <w:rFonts w:ascii="Times New Roman" w:hAnsi="Times New Roman" w:eastAsia="Times New Roman" w:cs="Times New Roman"/>
        </w:rPr>
        <w:t>: a non-envelope value in an encrypted column is refused rather than returned as legacy data. This matters because verification trusts the pinned public key stored in the row. A party who can write to the database, but cannot create an envelope without the master key, can only plant plaintext; strict mode refuses it on read, the public lookup then fails closed as INVALID and discloses nothing, and the batch integrity gate skips the row so the anchor wallet never signs a root containing it.</w:t>
      </w:r>
    </w:p>
    <w:p>
      <w:pPr>
        <w:pStyle w:val="Heading2"/>
      </w:pPr>
      <w:r>
        <w:t>B. Erasure by Salt Deletion</w:t>
      </w:r>
    </w:p>
    <w:p>
      <w:pPr>
        <w:pStyle w:val="BodyTextIEEE"/>
      </w:pPr>
      <w:r>
        <w:rPr>
          <w:rFonts w:ascii="Times New Roman" w:hAnsi="Times New Roman" w:eastAsia="Times New Roman" w:cs="Times New Roman"/>
        </w:rPr>
        <w:t>Because the ledger is immutable, erasure cannot remove an anchored value. Instead, erasing a holder’s account deletes, for every document they hold and in one transaction, the content and the salt and every version snapshot; deactivates share links and API keys; removes matches, messages and extracted skills; anonymises the user record; and writes an identifier-only audit entry. Stored PDFs are deleted after commit. What remains is the issuer’s record: type, status, dates, revocation information, the hash, both signatures and the proof. Since the salt was 256 bits of randomness, the remaining hash cannot be brute-forced back to content, and the public lookup reports that the holder exercised erasure and discloses nothing else; a credential download for the document returns HTTP 410. This design is meant to support the right to erasure in GDPR Art. 17 [31] and the correction-and-erasure right in s. 12 of India’s DPDP Act [32]. We make no claim of legal compliance: whether the residual hash remains personal data is a legal question, treated in the EDPB’s consultation draft on blockchains [33], that we have not analysed.</w:t>
      </w:r>
    </w:p>
    <w:p>
      <w:pPr>
        <w:pStyle w:val="Heading2"/>
      </w:pPr>
      <w:r>
        <w:t>C. Third-Party Egress</w:t>
      </w:r>
    </w:p>
    <w:p>
      <w:pPr>
        <w:pStyle w:val="BodyTextIEEE"/>
      </w:pPr>
      <w:r>
        <w:rPr>
          <w:rFonts w:ascii="Times New Roman" w:hAnsi="Times New Roman" w:eastAsia="Times New Roman" w:cs="Times New Roman"/>
        </w:rPr>
        <w:t>When an LLM is configured, skill extraction sends document text to an external API. The text is built from a default-deny allow-list of ten skill-bearing fields (such as designation, department and the free-text assessment fields); compensation, statutory identifiers, names and contact details are never sent, and a pattern-based deny-list backs up the allow-list. Prose fields can name the subject; the team accepts this residual because the prose is the skill signal. Extraction runs only for documents the holder marked for it, and only once issued.</w:t>
      </w:r>
    </w:p>
    <w:p>
      <w:pPr>
        <w:pStyle w:val="Heading1"/>
      </w:pPr>
      <w:r>
        <w:t>VIII. Consent-Gated, Explainable Talent Matching</w:t>
      </w:r>
    </w:p>
    <w:p>
      <w:pPr>
        <w:pStyle w:val="BodyTextIEEE"/>
        <w:ind w:firstLine="0"/>
      </w:pPr>
      <w:r>
        <w:rPr>
          <w:rFonts w:ascii="Times New Roman" w:hAnsi="Times New Roman" w:eastAsia="Times New Roman" w:cs="Times New Roman"/>
        </w:rPr>
        <w:t xml:space="preserve">A holder opts in per document (skill extraction) and per account (discoverability). After issuance the AI service extracts skills, title, seniority, years of experience and industries, using an LLM (Llama 3.3 70B through an OpenAI-compatible API) when a key is configured and a fixed-vocabulary heuristic otherwise, and embeds the semantic profile into 384 dimensions with all-MiniLM-L6-v2 [20] (with a deterministic hashing fallback). Embeddings are stored in a pgvector column with HNSW indexes. A recruiter creates a job opening; the server embeds it, retrieves the closest consented candidates by cosine distance, keeping each holder’s best document and taking the top ten, computes six features (Table V) and sends them to the ranker. Search is scoped to the recruiter’s organisation or all organisations, as configured; match results hide holders who have since opted out. The per-holder </w:t>
      </w:r>
      <w:r>
        <w:rPr>
          <w:rFonts w:ascii="Courier New" w:hAnsi="Courier New" w:eastAsia="Courier New" w:cs="Courier New"/>
          <w:sz w:val="17"/>
        </w:rPr>
        <w:t>DISTINCT ON</w:t>
      </w:r>
      <w:r>
        <w:rPr>
          <w:rFonts w:ascii="Times New Roman" w:hAnsi="Times New Roman" w:eastAsia="Times New Roman" w:cs="Times New Roman"/>
        </w:rPr>
        <w:t xml:space="preserve"> query shape scans the filtered set exactly and so does not use the HNSW indexes; the team chose correctness over latency at the current scale.</w:t>
      </w:r>
    </w:p>
    <w:p>
      <w:pPr>
        <w:pStyle w:val="Caption"/>
        <w:keepNext/>
        <w:spacing w:after="60" w:before="120"/>
      </w:pPr>
      <w:r>
        <w:rPr>
          <w:smallCaps w:val="0"/>
          <w:sz w:val="16"/>
        </w:rPr>
        <w:t>TABLE V</w:t>
      </w:r>
      <w:r>
        <w:rPr>
          <w:smallCaps/>
        </w:rPr>
        <w:br/>
      </w:r>
      <w:r>
        <w:rPr>
          <w:rFonts w:ascii="Times New Roman" w:hAnsi="Times New Roman" w:eastAsia="Times New Roman" w:cs="Times New Roman"/>
          <w:smallCaps/>
          <w:sz w:val="16"/>
        </w:rPr>
        <w:t>Ranker features and weights</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1656"/>
        <w:gridCol w:w="2664"/>
        <w:gridCol w:w="720"/>
      </w:tblGrid>
      <w:tr>
        <w:trPr>
          <w:cantSplit/>
          <w:tblHeader/>
        </w:trPr>
        <w:tc>
          <w:tcPr>
            <w:tcW w:type="dxa" w:w="1656"/>
            <w:tcBorders>
              <w:bottom w:val="single" w:sz="6" w:space="0" w:color="000000"/>
            </w:tcBorders>
          </w:tcPr>
          <w:p>
            <w:pPr>
              <w:pStyle w:val="TableTextIEEE"/>
              <w:keepNext/>
            </w:pPr>
            <w:r>
              <w:rPr>
                <w:rFonts w:ascii="Times New Roman" w:hAnsi="Times New Roman" w:eastAsia="Times New Roman" w:cs="Times New Roman"/>
                <w:b/>
                <w:sz w:val="15"/>
              </w:rPr>
              <w:t>Feature</w:t>
            </w:r>
          </w:p>
        </w:tc>
        <w:tc>
          <w:tcPr>
            <w:tcW w:type="dxa" w:w="2664"/>
            <w:tcBorders>
              <w:bottom w:val="single" w:sz="6" w:space="0" w:color="000000"/>
            </w:tcBorders>
          </w:tcPr>
          <w:p>
            <w:pPr>
              <w:pStyle w:val="TableTextIEEE"/>
              <w:keepNext/>
            </w:pPr>
            <w:r>
              <w:rPr>
                <w:rFonts w:ascii="Times New Roman" w:hAnsi="Times New Roman" w:eastAsia="Times New Roman" w:cs="Times New Roman"/>
                <w:b/>
                <w:sz w:val="15"/>
              </w:rPr>
              <w:t>Definition</w:t>
            </w:r>
          </w:p>
        </w:tc>
        <w:tc>
          <w:tcPr>
            <w:tcW w:type="dxa" w:w="720"/>
            <w:tcBorders>
              <w:bottom w:val="single" w:sz="6" w:space="0" w:color="000000"/>
            </w:tcBorders>
          </w:tcPr>
          <w:p>
            <w:pPr>
              <w:pStyle w:val="TableTextIEEE"/>
              <w:keepNext/>
              <w:jc w:val="right"/>
            </w:pPr>
            <w:r>
              <w:rPr>
                <w:rFonts w:ascii="Times New Roman" w:hAnsi="Times New Roman" w:eastAsia="Times New Roman" w:cs="Times New Roman"/>
                <w:b/>
                <w:sz w:val="15"/>
              </w:rPr>
              <w:t>Weight</w:t>
            </w:r>
          </w:p>
        </w:tc>
      </w:tr>
      <w:tr>
        <w:trPr>
          <w:cantSplit/>
        </w:trPr>
        <w:tc>
          <w:tcPr>
            <w:tcW w:type="dxa" w:w="1656"/>
          </w:tcPr>
          <w:p>
            <w:pPr>
              <w:pStyle w:val="TableTextIEEE"/>
              <w:keepNext/>
            </w:pPr>
            <w:r>
              <w:rPr>
                <w:rFonts w:ascii="Times New Roman" w:hAnsi="Times New Roman" w:eastAsia="Times New Roman" w:cs="Times New Roman"/>
                <w:sz w:val="15"/>
              </w:rPr>
              <w:t>embedding_similarity</w:t>
            </w:r>
          </w:p>
        </w:tc>
        <w:tc>
          <w:tcPr>
            <w:tcW w:type="dxa" w:w="2664"/>
          </w:tcPr>
          <w:p>
            <w:pPr>
              <w:pStyle w:val="TableTextIEEE"/>
              <w:keepNext/>
            </w:pPr>
            <w:r>
              <w:rPr>
                <w:rFonts w:ascii="Times New Roman" w:hAnsi="Times New Roman" w:eastAsia="Times New Roman" w:cs="Times New Roman"/>
                <w:sz w:val="15"/>
              </w:rPr>
              <w:t>cosine similarity, clamped to [0,1]</w:t>
            </w:r>
          </w:p>
        </w:tc>
        <w:tc>
          <w:tcPr>
            <w:tcW w:type="dxa" w:w="720"/>
          </w:tcPr>
          <w:p>
            <w:pPr>
              <w:pStyle w:val="TableTextIEEE"/>
              <w:keepNext/>
              <w:jc w:val="right"/>
            </w:pPr>
            <w:r>
              <w:rPr>
                <w:rFonts w:ascii="Times New Roman" w:hAnsi="Times New Roman" w:eastAsia="Times New Roman" w:cs="Times New Roman"/>
                <w:sz w:val="15"/>
              </w:rPr>
              <w:t>0.40</w:t>
            </w:r>
          </w:p>
        </w:tc>
      </w:tr>
      <w:tr>
        <w:trPr>
          <w:cantSplit/>
        </w:trPr>
        <w:tc>
          <w:tcPr>
            <w:tcW w:type="dxa" w:w="1656"/>
          </w:tcPr>
          <w:p>
            <w:pPr>
              <w:pStyle w:val="TableTextIEEE"/>
              <w:keepNext/>
            </w:pPr>
            <w:r>
              <w:rPr>
                <w:rFonts w:ascii="Times New Roman" w:hAnsi="Times New Roman" w:eastAsia="Times New Roman" w:cs="Times New Roman"/>
                <w:sz w:val="15"/>
              </w:rPr>
              <w:t>skill_overlap</w:t>
            </w:r>
          </w:p>
        </w:tc>
        <w:tc>
          <w:tcPr>
            <w:tcW w:type="dxa" w:w="2664"/>
          </w:tcPr>
          <w:p>
            <w:pPr>
              <w:pStyle w:val="TableTextIEEE"/>
              <w:keepNext/>
            </w:pPr>
            <w:r>
              <w:rPr>
                <w:rFonts w:ascii="Times New Roman" w:hAnsi="Times New Roman" w:eastAsia="Times New Roman" w:cs="Times New Roman"/>
                <w:sz w:val="15"/>
              </w:rPr>
              <w:t>share of required skills present</w:t>
            </w:r>
          </w:p>
        </w:tc>
        <w:tc>
          <w:tcPr>
            <w:tcW w:type="dxa" w:w="720"/>
          </w:tcPr>
          <w:p>
            <w:pPr>
              <w:pStyle w:val="TableTextIEEE"/>
              <w:keepNext/>
              <w:jc w:val="right"/>
            </w:pPr>
            <w:r>
              <w:rPr>
                <w:rFonts w:ascii="Times New Roman" w:hAnsi="Times New Roman" w:eastAsia="Times New Roman" w:cs="Times New Roman"/>
                <w:sz w:val="15"/>
              </w:rPr>
              <w:t>0.25</w:t>
            </w:r>
          </w:p>
        </w:tc>
      </w:tr>
      <w:tr>
        <w:trPr>
          <w:cantSplit/>
        </w:trPr>
        <w:tc>
          <w:tcPr>
            <w:tcW w:type="dxa" w:w="1656"/>
          </w:tcPr>
          <w:p>
            <w:pPr>
              <w:pStyle w:val="TableTextIEEE"/>
              <w:keepNext/>
            </w:pPr>
            <w:r>
              <w:rPr>
                <w:rFonts w:ascii="Times New Roman" w:hAnsi="Times New Roman" w:eastAsia="Times New Roman" w:cs="Times New Roman"/>
                <w:sz w:val="15"/>
              </w:rPr>
              <w:t>seniority_fit</w:t>
            </w:r>
          </w:p>
        </w:tc>
        <w:tc>
          <w:tcPr>
            <w:tcW w:type="dxa" w:w="2664"/>
          </w:tcPr>
          <w:p>
            <w:pPr>
              <w:pStyle w:val="TableTextIEEE"/>
              <w:keepNext/>
            </w:pPr>
            <w:r>
              <w:rPr>
                <w:rFonts w:ascii="Times New Roman" w:hAnsi="Times New Roman" w:eastAsia="Times New Roman" w:cs="Times New Roman"/>
                <w:sz w:val="15"/>
              </w:rPr>
              <w:t>1 − Δlevel/3 (0.5 if unknown)</w:t>
            </w:r>
          </w:p>
        </w:tc>
        <w:tc>
          <w:tcPr>
            <w:tcW w:type="dxa" w:w="720"/>
          </w:tcPr>
          <w:p>
            <w:pPr>
              <w:pStyle w:val="TableTextIEEE"/>
              <w:keepNext/>
              <w:jc w:val="right"/>
            </w:pPr>
            <w:r>
              <w:rPr>
                <w:rFonts w:ascii="Times New Roman" w:hAnsi="Times New Roman" w:eastAsia="Times New Roman" w:cs="Times New Roman"/>
                <w:sz w:val="15"/>
              </w:rPr>
              <w:t>0.15</w:t>
            </w:r>
          </w:p>
        </w:tc>
      </w:tr>
      <w:tr>
        <w:trPr>
          <w:cantSplit/>
        </w:trPr>
        <w:tc>
          <w:tcPr>
            <w:tcW w:type="dxa" w:w="1656"/>
          </w:tcPr>
          <w:p>
            <w:pPr>
              <w:pStyle w:val="TableTextIEEE"/>
              <w:keepNext/>
            </w:pPr>
            <w:r>
              <w:rPr>
                <w:rFonts w:ascii="Times New Roman" w:hAnsi="Times New Roman" w:eastAsia="Times New Roman" w:cs="Times New Roman"/>
                <w:sz w:val="15"/>
              </w:rPr>
              <w:t>industry_overlap</w:t>
            </w:r>
          </w:p>
        </w:tc>
        <w:tc>
          <w:tcPr>
            <w:tcW w:type="dxa" w:w="2664"/>
          </w:tcPr>
          <w:p>
            <w:pPr>
              <w:pStyle w:val="TableTextIEEE"/>
              <w:keepNext/>
            </w:pPr>
            <w:r>
              <w:rPr>
                <w:rFonts w:ascii="Times New Roman" w:hAnsi="Times New Roman" w:eastAsia="Times New Roman" w:cs="Times New Roman"/>
                <w:sz w:val="15"/>
              </w:rPr>
              <w:t>share of candidate industries named in the opening</w:t>
            </w:r>
          </w:p>
        </w:tc>
        <w:tc>
          <w:tcPr>
            <w:tcW w:type="dxa" w:w="720"/>
          </w:tcPr>
          <w:p>
            <w:pPr>
              <w:pStyle w:val="TableTextIEEE"/>
              <w:keepNext/>
              <w:jc w:val="right"/>
            </w:pPr>
            <w:r>
              <w:rPr>
                <w:rFonts w:ascii="Times New Roman" w:hAnsi="Times New Roman" w:eastAsia="Times New Roman" w:cs="Times New Roman"/>
                <w:sz w:val="15"/>
              </w:rPr>
              <w:t>0.10</w:t>
            </w:r>
          </w:p>
        </w:tc>
      </w:tr>
      <w:tr>
        <w:trPr>
          <w:cantSplit/>
        </w:trPr>
        <w:tc>
          <w:tcPr>
            <w:tcW w:type="dxa" w:w="1656"/>
          </w:tcPr>
          <w:p>
            <w:pPr>
              <w:pStyle w:val="TableTextIEEE"/>
              <w:keepNext/>
            </w:pPr>
            <w:r>
              <w:rPr>
                <w:rFonts w:ascii="Times New Roman" w:hAnsi="Times New Roman" w:eastAsia="Times New Roman" w:cs="Times New Roman"/>
                <w:sz w:val="15"/>
              </w:rPr>
              <w:t>years_exp_fit</w:t>
            </w:r>
          </w:p>
        </w:tc>
        <w:tc>
          <w:tcPr>
            <w:tcW w:type="dxa" w:w="2664"/>
          </w:tcPr>
          <w:p>
            <w:pPr>
              <w:pStyle w:val="TableTextIEEE"/>
              <w:keepNext/>
            </w:pPr>
            <w:r>
              <w:rPr>
                <w:rFonts w:ascii="Times New Roman" w:hAnsi="Times New Roman" w:eastAsia="Times New Roman" w:cs="Times New Roman"/>
                <w:sz w:val="15"/>
              </w:rPr>
              <w:t>1 if years ≥ minimum, else years/minimum</w:t>
            </w:r>
          </w:p>
        </w:tc>
        <w:tc>
          <w:tcPr>
            <w:tcW w:type="dxa" w:w="720"/>
          </w:tcPr>
          <w:p>
            <w:pPr>
              <w:pStyle w:val="TableTextIEEE"/>
              <w:keepNext/>
              <w:jc w:val="right"/>
            </w:pPr>
            <w:r>
              <w:rPr>
                <w:rFonts w:ascii="Times New Roman" w:hAnsi="Times New Roman" w:eastAsia="Times New Roman" w:cs="Times New Roman"/>
                <w:sz w:val="15"/>
              </w:rPr>
              <w:t>0.07</w:t>
            </w:r>
          </w:p>
        </w:tc>
      </w:tr>
      <w:tr>
        <w:trPr>
          <w:cantSplit/>
        </w:trPr>
        <w:tc>
          <w:tcPr>
            <w:tcW w:type="dxa" w:w="1656"/>
          </w:tcPr>
          <w:p>
            <w:pPr>
              <w:pStyle w:val="TableTextIEEE"/>
            </w:pPr>
            <w:r>
              <w:rPr>
                <w:rFonts w:ascii="Times New Roman" w:hAnsi="Times New Roman" w:eastAsia="Times New Roman" w:cs="Times New Roman"/>
                <w:sz w:val="15"/>
              </w:rPr>
              <w:t>recency</w:t>
            </w:r>
          </w:p>
        </w:tc>
        <w:tc>
          <w:tcPr>
            <w:tcW w:type="dxa" w:w="2664"/>
          </w:tcPr>
          <w:p>
            <w:pPr>
              <w:pStyle w:val="TableTextIEEE"/>
            </w:pPr>
            <w:r>
              <w:rPr>
                <w:rFonts w:ascii="Times New Roman" w:hAnsi="Times New Roman" w:eastAsia="Times New Roman" w:cs="Times New Roman"/>
                <w:sz w:val="15"/>
              </w:rPr>
              <w:t>1 − age in days/365, clamped</w:t>
            </w:r>
          </w:p>
        </w:tc>
        <w:tc>
          <w:tcPr>
            <w:tcW w:type="dxa" w:w="720"/>
          </w:tcPr>
          <w:p>
            <w:pPr>
              <w:pStyle w:val="TableTextIEEE"/>
              <w:jc w:val="right"/>
            </w:pPr>
            <w:r>
              <w:rPr>
                <w:rFonts w:ascii="Times New Roman" w:hAnsi="Times New Roman" w:eastAsia="Times New Roman" w:cs="Times New Roman"/>
                <w:sz w:val="15"/>
              </w:rPr>
              <w:t>0.03</w:t>
            </w:r>
          </w:p>
        </w:tc>
      </w:tr>
    </w:tbl>
    <w:p>
      <w:pPr>
        <w:spacing w:after="80" w:line="80" w:lineRule="exact"/>
      </w:pPr>
    </w:p>
    <w:p>
      <w:pPr>
        <w:pStyle w:val="BodyTextIEEE"/>
      </w:pPr>
      <w:r>
        <w:rPr>
          <w:rFonts w:ascii="Times New Roman" w:hAnsi="Times New Roman" w:eastAsia="Times New Roman" w:cs="Times New Roman"/>
          <w:b/>
        </w:rPr>
        <w:t>What the ranker is.</w:t>
      </w:r>
      <w:r>
        <w:rPr>
          <w:rFonts w:ascii="Times New Roman" w:hAnsi="Times New Roman" w:eastAsia="Times New Roman" w:cs="Times New Roman"/>
        </w:rPr>
        <w:t xml:space="preserve"> The weights in Table V were set by hand. There is no outcome data. To obtain a tree structure over which TreeSHAP can attribute, the service fits a LightGBM regressor (200 trees, 31 leaves) on 2,000 synthetic samples drawn uniformly at random, whose labels are the weighted sum of the features plus small noise. The booster therefore re-derives, to within fitting error, the hand-set weighted sum. It adds no real-world signal. Attributions are computed with LightGBM’s native TreeSHAP and reconcile with the score (base value plus contributions); the model version string is deliberately self-describing (</w:t>
      </w:r>
      <w:r>
        <w:rPr>
          <w:rFonts w:ascii="Courier New" w:hAnsi="Courier New" w:eastAsia="Courier New" w:cs="Courier New"/>
          <w:sz w:val="17"/>
        </w:rPr>
        <w:t>heuristic-lgbm-approx</w:t>
      </w:r>
      <w:r>
        <w:rPr>
          <w:rFonts w:ascii="Times New Roman" w:hAnsi="Times New Roman" w:eastAsia="Times New Roman" w:cs="Times New Roman"/>
        </w:rPr>
        <w:t xml:space="preserve">) so that no consumer mistakes it for a trained model, and a plain weighted sum is used if LightGBM is unavailable. The explanation panel therefore faithfully explains </w:t>
      </w:r>
      <w:r>
        <w:rPr>
          <w:rFonts w:ascii="Times New Roman" w:hAnsi="Times New Roman" w:eastAsia="Times New Roman" w:cs="Times New Roman"/>
          <w:i/>
        </w:rPr>
        <w:t>this scoring function</w:t>
      </w:r>
      <w:r>
        <w:rPr>
          <w:rFonts w:ascii="Times New Roman" w:hAnsi="Times New Roman" w:eastAsia="Times New Roman" w:cs="Times New Roman"/>
        </w:rPr>
        <w:t>; it is not evidence of what predicts a good hire. The intended label source, recruiter-confirmed positives from the interested/not-interested responses to outreach, exists in the schema but has not been used for training.</w:t>
      </w:r>
    </w:p>
    <w:p>
      <w:pPr>
        <w:pStyle w:val="Heading1"/>
      </w:pPr>
      <w:r>
        <w:t>IX. Evaluation</w:t>
      </w:r>
    </w:p>
    <w:p>
      <w:pPr>
        <w:pStyle w:val="Heading2"/>
      </w:pPr>
      <w:r>
        <w:t>A. Cost of the Cryptographic Primitives</w:t>
      </w:r>
    </w:p>
    <w:p>
      <w:pPr>
        <w:pStyle w:val="BodyTextIEEE"/>
        <w:ind w:firstLine="0"/>
      </w:pPr>
      <w:r>
        <w:rPr>
          <w:rFonts w:ascii="Times New Roman" w:hAnsi="Times New Roman" w:eastAsia="Times New Roman" w:cs="Times New Roman"/>
        </w:rPr>
        <w:t>We timed the primitives with the same libraries the server uses (</w:t>
      </w:r>
      <w:r>
        <w:rPr>
          <w:rFonts w:ascii="Courier New" w:hAnsi="Courier New" w:eastAsia="Courier New" w:cs="Courier New"/>
          <w:sz w:val="17"/>
        </w:rPr>
        <w:t>canonicalize</w:t>
      </w:r>
      <w:r>
        <w:rPr>
          <w:rFonts w:ascii="Times New Roman" w:hAnsi="Times New Roman" w:eastAsia="Times New Roman" w:cs="Times New Roman"/>
        </w:rPr>
        <w:t xml:space="preserve"> for RFC 8785, </w:t>
      </w:r>
      <w:r>
        <w:rPr>
          <w:rFonts w:ascii="Courier New" w:hAnsi="Courier New" w:eastAsia="Courier New" w:cs="Courier New"/>
          <w:sz w:val="17"/>
        </w:rPr>
        <w:t>merkletreejs</w:t>
      </w:r>
      <w:r>
        <w:rPr>
          <w:rFonts w:ascii="Times New Roman" w:hAnsi="Times New Roman" w:eastAsia="Times New Roman" w:cs="Times New Roman"/>
        </w:rPr>
        <w:t xml:space="preserve"> with SHA-256 and sorted pairs, and Node’s </w:t>
      </w:r>
      <w:r>
        <w:rPr>
          <w:rFonts w:ascii="Courier New" w:hAnsi="Courier New" w:eastAsia="Courier New" w:cs="Courier New"/>
          <w:sz w:val="17"/>
        </w:rPr>
        <w:t>crypto</w:t>
      </w:r>
      <w:r>
        <w:rPr>
          <w:rFonts w:ascii="Times New Roman" w:hAnsi="Times New Roman" w:eastAsia="Times New Roman" w:cs="Times New Roman"/>
        </w:rPr>
        <w:t xml:space="preserve"> for SHA-256 and RSA-2048/RS256) on an 11th-gen Intel Core i5-1135G7 at 2.4 GHz under Node 26.10, using a representative 10-field experience letter. These are micro-benchmarks of single operations, not end-to-end latency: they exclude the database, encryption, networking and chain confirmation, and no load test was run.</w:t>
      </w:r>
    </w:p>
    <w:p>
      <w:pPr>
        <w:pStyle w:val="Caption"/>
        <w:keepNext/>
        <w:spacing w:after="60" w:before="120"/>
      </w:pPr>
      <w:r>
        <w:rPr>
          <w:smallCaps w:val="0"/>
          <w:sz w:val="16"/>
        </w:rPr>
        <w:t>TABLE VI</w:t>
      </w:r>
      <w:r>
        <w:rPr>
          <w:smallCaps/>
        </w:rPr>
        <w:br/>
      </w:r>
      <w:r>
        <w:rPr>
          <w:rFonts w:ascii="Times New Roman" w:hAnsi="Times New Roman" w:eastAsia="Times New Roman" w:cs="Times New Roman"/>
          <w:smallCaps/>
          <w:sz w:val="16"/>
        </w:rPr>
        <w:t>Measured cost of primitive operations (mean)</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3744"/>
        <w:gridCol w:w="1296"/>
      </w:tblGrid>
      <w:tr>
        <w:trPr>
          <w:cantSplit/>
          <w:tblHeader/>
        </w:trPr>
        <w:tc>
          <w:tcPr>
            <w:tcW w:type="dxa" w:w="3744"/>
            <w:tcBorders>
              <w:bottom w:val="single" w:sz="6" w:space="0" w:color="000000"/>
            </w:tcBorders>
          </w:tcPr>
          <w:p>
            <w:pPr>
              <w:pStyle w:val="TableTextIEEE"/>
              <w:keepNext/>
            </w:pPr>
            <w:r>
              <w:rPr>
                <w:rFonts w:ascii="Times New Roman" w:hAnsi="Times New Roman" w:eastAsia="Times New Roman" w:cs="Times New Roman"/>
                <w:b/>
                <w:sz w:val="15"/>
              </w:rPr>
              <w:t>Operation</w:t>
            </w:r>
          </w:p>
        </w:tc>
        <w:tc>
          <w:tcPr>
            <w:tcW w:type="dxa" w:w="1296"/>
            <w:tcBorders>
              <w:bottom w:val="single" w:sz="6" w:space="0" w:color="000000"/>
            </w:tcBorders>
          </w:tcPr>
          <w:p>
            <w:pPr>
              <w:pStyle w:val="TableTextIEEE"/>
              <w:keepNext/>
              <w:jc w:val="right"/>
            </w:pPr>
            <w:r>
              <w:rPr>
                <w:rFonts w:ascii="Times New Roman" w:hAnsi="Times New Roman" w:eastAsia="Times New Roman" w:cs="Times New Roman"/>
                <w:b/>
                <w:sz w:val="15"/>
              </w:rPr>
              <w:t>Time</w:t>
            </w:r>
          </w:p>
        </w:tc>
      </w:tr>
      <w:tr>
        <w:trPr>
          <w:cantSplit/>
        </w:trPr>
        <w:tc>
          <w:tcPr>
            <w:tcW w:type="dxa" w:w="3744"/>
          </w:tcPr>
          <w:p>
            <w:pPr>
              <w:pStyle w:val="TableTextIEEE"/>
              <w:keepNext/>
            </w:pPr>
            <w:r>
              <w:rPr>
                <w:rFonts w:ascii="Times New Roman" w:hAnsi="Times New Roman" w:eastAsia="Times New Roman" w:cs="Times New Roman"/>
                <w:sz w:val="15"/>
              </w:rPr>
              <w:t>JCS + salt + SHA-256 (document hash)</w:t>
            </w:r>
          </w:p>
        </w:tc>
        <w:tc>
          <w:tcPr>
            <w:tcW w:type="dxa" w:w="1296"/>
          </w:tcPr>
          <w:p>
            <w:pPr>
              <w:pStyle w:val="TableTextIEEE"/>
              <w:keepNext/>
              <w:jc w:val="right"/>
            </w:pPr>
            <w:r>
              <w:rPr>
                <w:rFonts w:ascii="Times New Roman" w:hAnsi="Times New Roman" w:eastAsia="Times New Roman" w:cs="Times New Roman"/>
                <w:sz w:val="15"/>
              </w:rPr>
              <w:t>5.4 µs</w:t>
            </w:r>
          </w:p>
        </w:tc>
      </w:tr>
      <w:tr>
        <w:trPr>
          <w:cantSplit/>
        </w:trPr>
        <w:tc>
          <w:tcPr>
            <w:tcW w:type="dxa" w:w="3744"/>
          </w:tcPr>
          <w:p>
            <w:pPr>
              <w:pStyle w:val="TableTextIEEE"/>
              <w:keepNext/>
            </w:pPr>
            <w:r>
              <w:rPr>
                <w:rFonts w:ascii="Times New Roman" w:hAnsi="Times New Roman" w:eastAsia="Times New Roman" w:cs="Times New Roman"/>
                <w:sz w:val="15"/>
              </w:rPr>
              <w:t>Role-statement hash</w:t>
            </w:r>
          </w:p>
        </w:tc>
        <w:tc>
          <w:tcPr>
            <w:tcW w:type="dxa" w:w="1296"/>
          </w:tcPr>
          <w:p>
            <w:pPr>
              <w:pStyle w:val="TableTextIEEE"/>
              <w:keepNext/>
              <w:jc w:val="right"/>
            </w:pPr>
            <w:r>
              <w:rPr>
                <w:rFonts w:ascii="Times New Roman" w:hAnsi="Times New Roman" w:eastAsia="Times New Roman" w:cs="Times New Roman"/>
                <w:sz w:val="15"/>
              </w:rPr>
              <w:t>4.5 µs</w:t>
            </w:r>
          </w:p>
        </w:tc>
      </w:tr>
      <w:tr>
        <w:trPr>
          <w:cantSplit/>
        </w:trPr>
        <w:tc>
          <w:tcPr>
            <w:tcW w:type="dxa" w:w="3744"/>
          </w:tcPr>
          <w:p>
            <w:pPr>
              <w:pStyle w:val="TableTextIEEE"/>
              <w:keepNext/>
            </w:pPr>
            <w:r>
              <w:rPr>
                <w:rFonts w:ascii="Times New Roman" w:hAnsi="Times New Roman" w:eastAsia="Times New Roman" w:cs="Times New Roman"/>
                <w:sz w:val="15"/>
              </w:rPr>
              <w:t>RS256 sign (RSA-2048)</w:t>
            </w:r>
          </w:p>
        </w:tc>
        <w:tc>
          <w:tcPr>
            <w:tcW w:type="dxa" w:w="1296"/>
          </w:tcPr>
          <w:p>
            <w:pPr>
              <w:pStyle w:val="TableTextIEEE"/>
              <w:keepNext/>
              <w:jc w:val="right"/>
            </w:pPr>
            <w:r>
              <w:rPr>
                <w:rFonts w:ascii="Times New Roman" w:hAnsi="Times New Roman" w:eastAsia="Times New Roman" w:cs="Times New Roman"/>
                <w:sz w:val="15"/>
              </w:rPr>
              <w:t>271 µs</w:t>
            </w:r>
          </w:p>
        </w:tc>
      </w:tr>
      <w:tr>
        <w:trPr>
          <w:cantSplit/>
        </w:trPr>
        <w:tc>
          <w:tcPr>
            <w:tcW w:type="dxa" w:w="3744"/>
          </w:tcPr>
          <w:p>
            <w:pPr>
              <w:pStyle w:val="TableTextIEEE"/>
              <w:keepNext/>
            </w:pPr>
            <w:r>
              <w:rPr>
                <w:rFonts w:ascii="Times New Roman" w:hAnsi="Times New Roman" w:eastAsia="Times New Roman" w:cs="Times New Roman"/>
                <w:sz w:val="15"/>
              </w:rPr>
              <w:t>RS256 verify</w:t>
            </w:r>
          </w:p>
        </w:tc>
        <w:tc>
          <w:tcPr>
            <w:tcW w:type="dxa" w:w="1296"/>
          </w:tcPr>
          <w:p>
            <w:pPr>
              <w:pStyle w:val="TableTextIEEE"/>
              <w:keepNext/>
              <w:jc w:val="right"/>
            </w:pPr>
            <w:r>
              <w:rPr>
                <w:rFonts w:ascii="Times New Roman" w:hAnsi="Times New Roman" w:eastAsia="Times New Roman" w:cs="Times New Roman"/>
                <w:sz w:val="15"/>
              </w:rPr>
              <w:t>20.6 µs</w:t>
            </w:r>
          </w:p>
        </w:tc>
      </w:tr>
      <w:tr>
        <w:trPr>
          <w:cantSplit/>
        </w:trPr>
        <w:tc>
          <w:tcPr>
            <w:tcW w:type="dxa" w:w="3744"/>
          </w:tcPr>
          <w:p>
            <w:pPr>
              <w:pStyle w:val="TableTextIEEE"/>
              <w:keepNext/>
            </w:pPr>
            <w:r>
              <w:rPr>
                <w:rFonts w:ascii="Times New Roman" w:hAnsi="Times New Roman" w:eastAsia="Times New Roman" w:cs="Times New Roman"/>
                <w:sz w:val="15"/>
              </w:rPr>
              <w:t>Merkle proof verification, n = 1,000</w:t>
            </w:r>
          </w:p>
        </w:tc>
        <w:tc>
          <w:tcPr>
            <w:tcW w:type="dxa" w:w="1296"/>
          </w:tcPr>
          <w:p>
            <w:pPr>
              <w:pStyle w:val="TableTextIEEE"/>
              <w:keepNext/>
              <w:jc w:val="right"/>
            </w:pPr>
            <w:r>
              <w:rPr>
                <w:rFonts w:ascii="Times New Roman" w:hAnsi="Times New Roman" w:eastAsia="Times New Roman" w:cs="Times New Roman"/>
                <w:sz w:val="15"/>
              </w:rPr>
              <w:t>27.7 µs</w:t>
            </w:r>
          </w:p>
        </w:tc>
      </w:tr>
      <w:tr>
        <w:trPr>
          <w:cantSplit/>
        </w:trPr>
        <w:tc>
          <w:tcPr>
            <w:tcW w:type="dxa" w:w="3744"/>
          </w:tcPr>
          <w:p>
            <w:pPr>
              <w:pStyle w:val="TableTextIEEE"/>
            </w:pPr>
            <w:r>
              <w:rPr>
                <w:rFonts w:ascii="Times New Roman" w:hAnsi="Times New Roman" w:eastAsia="Times New Roman" w:cs="Times New Roman"/>
                <w:sz w:val="15"/>
              </w:rPr>
              <w:t>Merkle tree construction, n = 100,000</w:t>
            </w:r>
          </w:p>
        </w:tc>
        <w:tc>
          <w:tcPr>
            <w:tcW w:type="dxa" w:w="1296"/>
          </w:tcPr>
          <w:p>
            <w:pPr>
              <w:pStyle w:val="TableTextIEEE"/>
              <w:jc w:val="right"/>
            </w:pPr>
            <w:r>
              <w:rPr>
                <w:rFonts w:ascii="Times New Roman" w:hAnsi="Times New Roman" w:eastAsia="Times New Roman" w:cs="Times New Roman"/>
                <w:sz w:val="15"/>
              </w:rPr>
              <w:t>278 ms</w:t>
            </w:r>
          </w:p>
        </w:tc>
      </w:tr>
    </w:tbl>
    <w:p>
      <w:pPr>
        <w:spacing w:after="80" w:line="80" w:lineRule="exact"/>
      </w:pPr>
    </w:p>
    <w:p>
      <w:pPr>
        <w:keepNext/>
        <w:spacing w:before="80"/>
        <w:jc w:val="center"/>
      </w:pPr>
      <w:r>
        <w:drawing>
          <wp:inline xmlns:a="http://schemas.openxmlformats.org/drawingml/2006/main" xmlns:pic="http://schemas.openxmlformats.org/drawingml/2006/picture">
            <wp:extent cx="3017520" cy="1836751"/>
            <wp:docPr id="4" name="Picture 4"/>
            <wp:cNvGraphicFramePr>
              <a:graphicFrameLocks noChangeAspect="1"/>
            </wp:cNvGraphicFramePr>
            <a:graphic>
              <a:graphicData uri="http://schemas.openxmlformats.org/drawingml/2006/picture">
                <pic:pic>
                  <pic:nvPicPr>
                    <pic:cNvPr id="0" name="fig4_benchmark.png"/>
                    <pic:cNvPicPr/>
                  </pic:nvPicPr>
                  <pic:blipFill>
                    <a:blip r:embed="rId13"/>
                    <a:stretch>
                      <a:fillRect/>
                    </a:stretch>
                  </pic:blipFill>
                  <pic:spPr>
                    <a:xfrm>
                      <a:off x="0" y="0"/>
                      <a:ext cx="3017520" cy="1836751"/>
                    </a:xfrm>
                    <a:prstGeom prst="rect"/>
                  </pic:spPr>
                </pic:pic>
              </a:graphicData>
            </a:graphic>
          </wp:inline>
        </w:drawing>
      </w:r>
    </w:p>
    <w:p>
      <w:pPr>
        <w:pStyle w:val="Caption"/>
      </w:pPr>
      <w:r>
        <w:rPr>
          <w:rFonts w:ascii="Times New Roman" w:hAnsi="Times New Roman" w:eastAsia="Times New Roman" w:cs="Times New Roman"/>
          <w:sz w:val="16"/>
        </w:rPr>
        <w:t>Fig. 4. Merkle proof size and verification time versus daily batch size n (measured).</w:t>
      </w:r>
    </w:p>
    <w:p>
      <w:pPr>
        <w:pStyle w:val="BodyTextIEEE"/>
      </w:pPr>
      <w:r>
        <w:rPr>
          <w:rFonts w:ascii="Times New Roman" w:hAnsi="Times New Roman" w:eastAsia="Times New Roman" w:cs="Times New Roman"/>
        </w:rPr>
        <w:t xml:space="preserve">Issuing a document needs two signatures, about 0.54 ms of signing time, and verifying both takes about 41 µs. Proof size grows as ⌈log₂ </w:t>
      </w:r>
      <w:r>
        <w:rPr>
          <w:rFonts w:ascii="Times New Roman" w:hAnsi="Times New Roman" w:eastAsia="Times New Roman" w:cs="Times New Roman"/>
          <w:i/>
        </w:rPr>
        <w:t>n</w:t>
      </w:r>
      <w:r>
        <w:rPr>
          <w:rFonts w:ascii="Times New Roman" w:hAnsi="Times New Roman" w:eastAsia="Times New Roman" w:cs="Times New Roman"/>
        </w:rPr>
        <w:t xml:space="preserve">⌉ (Eq. 5): 128 bytes for ten documents and 544 bytes for 100,000, while verification stays under 50 µs (Fig. 4). Building a tree over 100,000 leaves takes 278 ms. Because one </w:t>
      </w:r>
      <w:r>
        <w:rPr>
          <w:rFonts w:ascii="Courier New" w:hAnsi="Courier New" w:eastAsia="Courier New" w:cs="Courier New"/>
          <w:sz w:val="17"/>
        </w:rPr>
        <w:t>anchorRoot</w:t>
      </w:r>
      <w:r>
        <w:rPr>
          <w:rFonts w:ascii="Times New Roman" w:hAnsi="Times New Roman" w:eastAsia="Times New Roman" w:cs="Times New Roman"/>
        </w:rPr>
        <w:t xml:space="preserve"> transaction covers a whole batch, the on-chain cost per document falls as 1/</w:t>
      </w:r>
      <w:r>
        <w:rPr>
          <w:rFonts w:ascii="Times New Roman" w:hAnsi="Times New Roman" w:eastAsia="Times New Roman" w:cs="Times New Roman"/>
          <w:i/>
        </w:rPr>
        <w:t>n</w:t>
      </w:r>
      <w:r>
        <w:rPr>
          <w:rFonts w:ascii="Times New Roman" w:hAnsi="Times New Roman" w:eastAsia="Times New Roman" w:cs="Times New Roman"/>
        </w:rPr>
        <w:t xml:space="preserve"> (R8). We did not measure gas; the registry stores one record per root, and the project’s own documentation reports roughly 137,500 gas per anchor, which we have not reproduced.</w:t>
      </w:r>
    </w:p>
    <w:p>
      <w:pPr>
        <w:pStyle w:val="Heading2"/>
      </w:pPr>
      <w:r>
        <w:t>B. Test Inventory</w:t>
      </w:r>
    </w:p>
    <w:p>
      <w:pPr>
        <w:pStyle w:val="BodyTextIEEE"/>
        <w:ind w:firstLine="0"/>
      </w:pPr>
      <w:r>
        <w:rPr>
          <w:rFonts w:ascii="Times New Roman" w:hAnsi="Times New Roman" w:eastAsia="Times New Roman" w:cs="Times New Roman"/>
        </w:rPr>
        <w:t>Table VII counts test cases statically. In the environment used to prepare this paper, which lacked some optional dependencies, 22 of the 31 server unit-test suites could be executed and all 226 of their tests passed, and all 17 AI-service tests passed. The remaining server suites, the integration and browser suites and the contract tests were not re-executed here.</w:t>
      </w:r>
    </w:p>
    <w:p>
      <w:pPr>
        <w:pStyle w:val="Caption"/>
        <w:keepNext/>
        <w:spacing w:after="60" w:before="120"/>
      </w:pPr>
      <w:r>
        <w:rPr>
          <w:smallCaps w:val="0"/>
          <w:sz w:val="16"/>
        </w:rPr>
        <w:t>TABLE VII</w:t>
      </w:r>
      <w:r>
        <w:rPr>
          <w:smallCaps/>
        </w:rPr>
        <w:br/>
      </w:r>
      <w:r>
        <w:rPr>
          <w:rFonts w:ascii="Times New Roman" w:hAnsi="Times New Roman" w:eastAsia="Times New Roman" w:cs="Times New Roman"/>
          <w:smallCaps/>
          <w:sz w:val="16"/>
        </w:rPr>
        <w:t>Test inventory (static count)</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1800"/>
        <w:gridCol w:w="2592"/>
        <w:gridCol w:w="648"/>
      </w:tblGrid>
      <w:tr>
        <w:trPr>
          <w:cantSplit/>
          <w:tblHeader/>
        </w:trPr>
        <w:tc>
          <w:tcPr>
            <w:tcW w:type="dxa" w:w="1800"/>
            <w:tcBorders>
              <w:bottom w:val="single" w:sz="6" w:space="0" w:color="000000"/>
            </w:tcBorders>
          </w:tcPr>
          <w:p>
            <w:pPr>
              <w:pStyle w:val="TableTextIEEE"/>
              <w:keepNext/>
            </w:pPr>
            <w:r>
              <w:rPr>
                <w:rFonts w:ascii="Times New Roman" w:hAnsi="Times New Roman" w:eastAsia="Times New Roman" w:cs="Times New Roman"/>
                <w:b/>
                <w:sz w:val="15"/>
              </w:rPr>
              <w:t>Suite</w:t>
            </w:r>
          </w:p>
        </w:tc>
        <w:tc>
          <w:tcPr>
            <w:tcW w:type="dxa" w:w="2592"/>
            <w:tcBorders>
              <w:bottom w:val="single" w:sz="6" w:space="0" w:color="000000"/>
            </w:tcBorders>
          </w:tcPr>
          <w:p>
            <w:pPr>
              <w:pStyle w:val="TableTextIEEE"/>
              <w:keepNext/>
            </w:pPr>
            <w:r>
              <w:rPr>
                <w:rFonts w:ascii="Times New Roman" w:hAnsi="Times New Roman" w:eastAsia="Times New Roman" w:cs="Times New Roman"/>
                <w:b/>
                <w:sz w:val="15"/>
              </w:rPr>
              <w:t>Scope</w:t>
            </w:r>
          </w:p>
        </w:tc>
        <w:tc>
          <w:tcPr>
            <w:tcW w:type="dxa" w:w="648"/>
            <w:tcBorders>
              <w:bottom w:val="single" w:sz="6" w:space="0" w:color="000000"/>
            </w:tcBorders>
          </w:tcPr>
          <w:p>
            <w:pPr>
              <w:pStyle w:val="TableTextIEEE"/>
              <w:keepNext/>
              <w:jc w:val="right"/>
            </w:pPr>
            <w:r>
              <w:rPr>
                <w:rFonts w:ascii="Times New Roman" w:hAnsi="Times New Roman" w:eastAsia="Times New Roman" w:cs="Times New Roman"/>
                <w:b/>
                <w:sz w:val="15"/>
              </w:rPr>
              <w:t>Cases</w:t>
            </w:r>
          </w:p>
        </w:tc>
      </w:tr>
      <w:tr>
        <w:trPr>
          <w:cantSplit/>
        </w:trPr>
        <w:tc>
          <w:tcPr>
            <w:tcW w:type="dxa" w:w="1800"/>
          </w:tcPr>
          <w:p>
            <w:pPr>
              <w:pStyle w:val="TableTextIEEE"/>
              <w:keepNext/>
            </w:pPr>
            <w:r>
              <w:rPr>
                <w:rFonts w:ascii="Times New Roman" w:hAnsi="Times New Roman" w:eastAsia="Times New Roman" w:cs="Times New Roman"/>
                <w:sz w:val="15"/>
              </w:rPr>
              <w:t>Server unit (31 spec files)</w:t>
            </w:r>
          </w:p>
        </w:tc>
        <w:tc>
          <w:tcPr>
            <w:tcW w:type="dxa" w:w="2592"/>
          </w:tcPr>
          <w:p>
            <w:pPr>
              <w:pStyle w:val="TableTextIEEE"/>
              <w:keepNext/>
            </w:pPr>
            <w:r>
              <w:rPr>
                <w:rFonts w:ascii="Times New Roman" w:hAnsi="Times New Roman" w:eastAsia="Times New Roman" w:cs="Times New Roman"/>
                <w:sz w:val="15"/>
              </w:rPr>
              <w:t>crypto, Merkle, gate, encryption, verification, RBAC</w:t>
            </w:r>
          </w:p>
        </w:tc>
        <w:tc>
          <w:tcPr>
            <w:tcW w:type="dxa" w:w="648"/>
          </w:tcPr>
          <w:p>
            <w:pPr>
              <w:pStyle w:val="TableTextIEEE"/>
              <w:keepNext/>
              <w:jc w:val="right"/>
            </w:pPr>
            <w:r>
              <w:rPr>
                <w:rFonts w:ascii="Times New Roman" w:hAnsi="Times New Roman" w:eastAsia="Times New Roman" w:cs="Times New Roman"/>
                <w:sz w:val="15"/>
              </w:rPr>
              <w:t>≈275</w:t>
            </w:r>
          </w:p>
        </w:tc>
      </w:tr>
      <w:tr>
        <w:trPr>
          <w:cantSplit/>
        </w:trPr>
        <w:tc>
          <w:tcPr>
            <w:tcW w:type="dxa" w:w="1800"/>
          </w:tcPr>
          <w:p>
            <w:pPr>
              <w:pStyle w:val="TableTextIEEE"/>
              <w:keepNext/>
            </w:pPr>
            <w:r>
              <w:rPr>
                <w:rFonts w:ascii="Times New Roman" w:hAnsi="Times New Roman" w:eastAsia="Times New Roman" w:cs="Times New Roman"/>
                <w:sz w:val="15"/>
              </w:rPr>
              <w:t>Server integration (5 files)</w:t>
            </w:r>
          </w:p>
        </w:tc>
        <w:tc>
          <w:tcPr>
            <w:tcW w:type="dxa" w:w="2592"/>
          </w:tcPr>
          <w:p>
            <w:pPr>
              <w:pStyle w:val="TableTextIEEE"/>
              <w:keepNext/>
            </w:pPr>
            <w:r>
              <w:rPr>
                <w:rFonts w:ascii="Times New Roman" w:hAnsi="Times New Roman" w:eastAsia="Times New Roman" w:cs="Times New Roman"/>
                <w:sz w:val="15"/>
              </w:rPr>
              <w:t>encryption, strict reads, erasure, signing key</w:t>
            </w:r>
          </w:p>
        </w:tc>
        <w:tc>
          <w:tcPr>
            <w:tcW w:type="dxa" w:w="648"/>
          </w:tcPr>
          <w:p>
            <w:pPr>
              <w:pStyle w:val="TableTextIEEE"/>
              <w:keepNext/>
              <w:jc w:val="right"/>
            </w:pPr>
            <w:r>
              <w:rPr>
                <w:rFonts w:ascii="Times New Roman" w:hAnsi="Times New Roman" w:eastAsia="Times New Roman" w:cs="Times New Roman"/>
                <w:sz w:val="15"/>
              </w:rPr>
              <w:t>26</w:t>
            </w:r>
          </w:p>
        </w:tc>
      </w:tr>
      <w:tr>
        <w:trPr>
          <w:cantSplit/>
        </w:trPr>
        <w:tc>
          <w:tcPr>
            <w:tcW w:type="dxa" w:w="1800"/>
          </w:tcPr>
          <w:p>
            <w:pPr>
              <w:pStyle w:val="TableTextIEEE"/>
              <w:keepNext/>
            </w:pPr>
            <w:r>
              <w:rPr>
                <w:rFonts w:ascii="Times New Roman" w:hAnsi="Times New Roman" w:eastAsia="Times New Roman" w:cs="Times New Roman"/>
                <w:sz w:val="15"/>
              </w:rPr>
              <w:t>Playwright (5 files)</w:t>
            </w:r>
          </w:p>
        </w:tc>
        <w:tc>
          <w:tcPr>
            <w:tcW w:type="dxa" w:w="2592"/>
          </w:tcPr>
          <w:p>
            <w:pPr>
              <w:pStyle w:val="TableTextIEEE"/>
              <w:keepNext/>
            </w:pPr>
            <w:r>
              <w:rPr>
                <w:rFonts w:ascii="Times New Roman" w:hAnsi="Times New Roman" w:eastAsia="Times New Roman" w:cs="Times New Roman"/>
                <w:sz w:val="15"/>
              </w:rPr>
              <w:t>org, lifecycle, bulk issuance, RBAC, sessions</w:t>
            </w:r>
          </w:p>
        </w:tc>
        <w:tc>
          <w:tcPr>
            <w:tcW w:type="dxa" w:w="648"/>
          </w:tcPr>
          <w:p>
            <w:pPr>
              <w:pStyle w:val="TableTextIEEE"/>
              <w:keepNext/>
              <w:jc w:val="right"/>
            </w:pPr>
            <w:r>
              <w:rPr>
                <w:rFonts w:ascii="Times New Roman" w:hAnsi="Times New Roman" w:eastAsia="Times New Roman" w:cs="Times New Roman"/>
                <w:sz w:val="15"/>
              </w:rPr>
              <w:t>25</w:t>
            </w:r>
          </w:p>
        </w:tc>
      </w:tr>
      <w:tr>
        <w:trPr>
          <w:cantSplit/>
        </w:trPr>
        <w:tc>
          <w:tcPr>
            <w:tcW w:type="dxa" w:w="1800"/>
          </w:tcPr>
          <w:p>
            <w:pPr>
              <w:pStyle w:val="TableTextIEEE"/>
              <w:keepNext/>
            </w:pPr>
            <w:r>
              <w:rPr>
                <w:rFonts w:ascii="Times New Roman" w:hAnsi="Times New Roman" w:eastAsia="Times New Roman" w:cs="Times New Roman"/>
                <w:sz w:val="15"/>
              </w:rPr>
              <w:t>Contract (Hardhat)</w:t>
            </w:r>
          </w:p>
        </w:tc>
        <w:tc>
          <w:tcPr>
            <w:tcW w:type="dxa" w:w="2592"/>
          </w:tcPr>
          <w:p>
            <w:pPr>
              <w:pStyle w:val="TableTextIEEE"/>
              <w:keepNext/>
            </w:pPr>
            <w:r>
              <w:rPr>
                <w:rFonts w:ascii="Times New Roman" w:hAnsi="Times New Roman" w:eastAsia="Times New Roman" w:cs="Times New Roman"/>
                <w:sz w:val="15"/>
              </w:rPr>
              <w:t>AnchorRegistry behaviour</w:t>
            </w:r>
          </w:p>
        </w:tc>
        <w:tc>
          <w:tcPr>
            <w:tcW w:type="dxa" w:w="648"/>
          </w:tcPr>
          <w:p>
            <w:pPr>
              <w:pStyle w:val="TableTextIEEE"/>
              <w:keepNext/>
              <w:jc w:val="right"/>
            </w:pPr>
            <w:r>
              <w:rPr>
                <w:rFonts w:ascii="Times New Roman" w:hAnsi="Times New Roman" w:eastAsia="Times New Roman" w:cs="Times New Roman"/>
                <w:sz w:val="15"/>
              </w:rPr>
              <w:t>18</w:t>
            </w:r>
          </w:p>
        </w:tc>
      </w:tr>
      <w:tr>
        <w:trPr>
          <w:cantSplit/>
        </w:trPr>
        <w:tc>
          <w:tcPr>
            <w:tcW w:type="dxa" w:w="1800"/>
          </w:tcPr>
          <w:p>
            <w:pPr>
              <w:pStyle w:val="TableTextIEEE"/>
              <w:keepNext/>
            </w:pPr>
            <w:r>
              <w:rPr>
                <w:rFonts w:ascii="Times New Roman" w:hAnsi="Times New Roman" w:eastAsia="Times New Roman" w:cs="Times New Roman"/>
                <w:sz w:val="15"/>
              </w:rPr>
              <w:t>AI service (pytest)</w:t>
            </w:r>
          </w:p>
        </w:tc>
        <w:tc>
          <w:tcPr>
            <w:tcW w:type="dxa" w:w="2592"/>
          </w:tcPr>
          <w:p>
            <w:pPr>
              <w:pStyle w:val="TableTextIEEE"/>
              <w:keepNext/>
            </w:pPr>
            <w:r>
              <w:rPr>
                <w:rFonts w:ascii="Times New Roman" w:hAnsi="Times New Roman" w:eastAsia="Times New Roman" w:cs="Times New Roman"/>
                <w:sz w:val="15"/>
              </w:rPr>
              <w:t>extraction, embeddings, ranking, config, API</w:t>
            </w:r>
          </w:p>
        </w:tc>
        <w:tc>
          <w:tcPr>
            <w:tcW w:type="dxa" w:w="648"/>
          </w:tcPr>
          <w:p>
            <w:pPr>
              <w:pStyle w:val="TableTextIEEE"/>
              <w:keepNext/>
              <w:jc w:val="right"/>
            </w:pPr>
            <w:r>
              <w:rPr>
                <w:rFonts w:ascii="Times New Roman" w:hAnsi="Times New Roman" w:eastAsia="Times New Roman" w:cs="Times New Roman"/>
                <w:sz w:val="15"/>
              </w:rPr>
              <w:t>17</w:t>
            </w:r>
          </w:p>
        </w:tc>
      </w:tr>
      <w:tr>
        <w:trPr>
          <w:cantSplit/>
        </w:trPr>
        <w:tc>
          <w:tcPr>
            <w:tcW w:type="dxa" w:w="1800"/>
          </w:tcPr>
          <w:p>
            <w:pPr>
              <w:pStyle w:val="TableTextIEEE"/>
            </w:pPr>
            <w:r>
              <w:rPr>
                <w:rFonts w:ascii="Times New Roman" w:hAnsi="Times New Roman" w:eastAsia="Times New Roman" w:cs="Times New Roman"/>
                <w:sz w:val="15"/>
              </w:rPr>
              <w:t>Verifier vectors</w:t>
            </w:r>
          </w:p>
        </w:tc>
        <w:tc>
          <w:tcPr>
            <w:tcW w:type="dxa" w:w="2592"/>
          </w:tcPr>
          <w:p>
            <w:pPr>
              <w:pStyle w:val="TableTextIEEE"/>
            </w:pPr>
            <w:r>
              <w:rPr>
                <w:rFonts w:ascii="Times New Roman" w:hAnsi="Times New Roman" w:eastAsia="Times New Roman" w:cs="Times New Roman"/>
                <w:sz w:val="15"/>
              </w:rPr>
              <w:t>JCS, hash, statements, Merkle (known answers)</w:t>
            </w:r>
          </w:p>
        </w:tc>
        <w:tc>
          <w:tcPr>
            <w:tcW w:type="dxa" w:w="648"/>
          </w:tcPr>
          <w:p>
            <w:pPr>
              <w:pStyle w:val="TableTextIEEE"/>
              <w:jc w:val="right"/>
            </w:pPr>
            <w:r>
              <w:rPr>
                <w:rFonts w:ascii="Times New Roman" w:hAnsi="Times New Roman" w:eastAsia="Times New Roman" w:cs="Times New Roman"/>
                <w:sz w:val="15"/>
              </w:rPr>
              <w:t>—</w:t>
            </w:r>
          </w:p>
        </w:tc>
      </w:tr>
    </w:tbl>
    <w:p>
      <w:pPr>
        <w:spacing w:after="80" w:line="80" w:lineRule="exact"/>
      </w:pPr>
    </w:p>
    <w:p>
      <w:pPr>
        <w:pStyle w:val="Heading2"/>
      </w:pPr>
      <w:r>
        <w:t>C. Threat Analysis</w:t>
      </w:r>
    </w:p>
    <w:p>
      <w:pPr>
        <w:pStyle w:val="BodyTextIEEE"/>
        <w:ind w:firstLine="0"/>
      </w:pPr>
      <w:r>
        <w:rPr>
          <w:rFonts w:ascii="Times New Roman" w:hAnsi="Times New Roman" w:eastAsia="Times New Roman" w:cs="Times New Roman"/>
        </w:rPr>
        <w:t>Table VIII walks through the adversaries of Section III. The first column is an attempted action; the second is the outcome in the current implementation; the third names the mechanism.</w:t>
      </w:r>
    </w:p>
    <w:p>
      <w:pPr>
        <w:pStyle w:val="Caption"/>
        <w:keepNext/>
        <w:spacing w:after="60" w:before="120"/>
      </w:pPr>
      <w:r>
        <w:rPr>
          <w:smallCaps w:val="0"/>
          <w:sz w:val="16"/>
        </w:rPr>
        <w:t>TABLE VIII</w:t>
      </w:r>
      <w:r>
        <w:rPr>
          <w:smallCaps/>
        </w:rPr>
        <w:br/>
      </w:r>
      <w:r>
        <w:rPr>
          <w:rFonts w:ascii="Times New Roman" w:hAnsi="Times New Roman" w:eastAsia="Times New Roman" w:cs="Times New Roman"/>
          <w:smallCaps/>
          <w:sz w:val="16"/>
        </w:rPr>
        <w:t>Attempted attacks and outcomes</w:t>
      </w:r>
    </w:p>
    <w:tbl>
      <w:tblPr>
        <w:jc w:val="left"/>
        <w:tblLayout w:type="fixed"/>
        <w:tblLook w:firstColumn="1" w:firstRow="1" w:lastColumn="0" w:lastRow="0" w:noHBand="0" w:noVBand="1" w:val="04A0"/>
        <w:tblBorders>
          <w:top w:val="single" w:sz="8" w:space="0" w:color="000000"/>
          <w:bottom w:val="single" w:sz="8" w:space="0" w:color="000000"/>
          <w:insideH w:val="single" w:sz="2" w:space="0" w:color="999999"/>
        </w:tblBorders>
        <w:tblCellMar>
          <w:top w:w="15" w:type="dxa"/>
          <w:left w:w="50" w:type="dxa"/>
          <w:bottom w:w="15" w:type="dxa"/>
          <w:right w:w="50" w:type="dxa"/>
        </w:tblCellMar>
        <w:tblLayout w:type="fixed"/>
        <w:tblW w:w="5040" w:type="dxa"/>
        <w:tblInd w:w="0" w:type="dxa"/>
      </w:tblPr>
      <w:tblGrid>
        <w:gridCol w:w="1728"/>
        <w:gridCol w:w="1656"/>
        <w:gridCol w:w="1656"/>
      </w:tblGrid>
      <w:tr>
        <w:trPr>
          <w:cantSplit/>
          <w:tblHeader/>
        </w:trPr>
        <w:tc>
          <w:tcPr>
            <w:tcW w:type="dxa" w:w="1728"/>
            <w:tcBorders>
              <w:bottom w:val="single" w:sz="6" w:space="0" w:color="000000"/>
            </w:tcBorders>
          </w:tcPr>
          <w:p>
            <w:pPr>
              <w:pStyle w:val="TableTextIEEE"/>
              <w:keepNext/>
            </w:pPr>
            <w:r>
              <w:rPr>
                <w:rFonts w:ascii="Times New Roman" w:hAnsi="Times New Roman" w:eastAsia="Times New Roman" w:cs="Times New Roman"/>
                <w:b/>
                <w:sz w:val="15"/>
              </w:rPr>
              <w:t>Attempt</w:t>
            </w:r>
          </w:p>
        </w:tc>
        <w:tc>
          <w:tcPr>
            <w:tcW w:type="dxa" w:w="1656"/>
            <w:tcBorders>
              <w:bottom w:val="single" w:sz="6" w:space="0" w:color="000000"/>
            </w:tcBorders>
          </w:tcPr>
          <w:p>
            <w:pPr>
              <w:pStyle w:val="TableTextIEEE"/>
              <w:keepNext/>
            </w:pPr>
            <w:r>
              <w:rPr>
                <w:rFonts w:ascii="Times New Roman" w:hAnsi="Times New Roman" w:eastAsia="Times New Roman" w:cs="Times New Roman"/>
                <w:b/>
                <w:sz w:val="15"/>
              </w:rPr>
              <w:t>Outcome</w:t>
            </w:r>
          </w:p>
        </w:tc>
        <w:tc>
          <w:tcPr>
            <w:tcW w:type="dxa" w:w="1656"/>
            <w:tcBorders>
              <w:bottom w:val="single" w:sz="6" w:space="0" w:color="000000"/>
            </w:tcBorders>
          </w:tcPr>
          <w:p>
            <w:pPr>
              <w:pStyle w:val="TableTextIEEE"/>
              <w:keepNext/>
            </w:pPr>
            <w:r>
              <w:rPr>
                <w:rFonts w:ascii="Times New Roman" w:hAnsi="Times New Roman" w:eastAsia="Times New Roman" w:cs="Times New Roman"/>
                <w:b/>
                <w:sz w:val="15"/>
              </w:rPr>
              <w:t>Mechanism</w:t>
            </w:r>
          </w:p>
        </w:tc>
      </w:tr>
      <w:tr>
        <w:trPr>
          <w:cantSplit/>
        </w:trPr>
        <w:tc>
          <w:tcPr>
            <w:tcW w:type="dxa" w:w="1728"/>
          </w:tcPr>
          <w:p>
            <w:pPr>
              <w:pStyle w:val="TableTextIEEE"/>
              <w:keepNext/>
            </w:pPr>
            <w:r>
              <w:rPr>
                <w:rFonts w:ascii="Times New Roman" w:hAnsi="Times New Roman" w:eastAsia="Times New Roman" w:cs="Times New Roman"/>
                <w:sz w:val="15"/>
              </w:rPr>
              <w:t>A1 edits content after issuance</w:t>
            </w:r>
          </w:p>
        </w:tc>
        <w:tc>
          <w:tcPr>
            <w:tcW w:type="dxa" w:w="1656"/>
          </w:tcPr>
          <w:p>
            <w:pPr>
              <w:pStyle w:val="TableTextIEEE"/>
              <w:keepNext/>
            </w:pPr>
            <w:r>
              <w:rPr>
                <w:rFonts w:ascii="Times New Roman" w:hAnsi="Times New Roman" w:eastAsia="Times New Roman" w:cs="Times New Roman"/>
                <w:sz w:val="15"/>
              </w:rPr>
              <w:t>Detected; INVALID</w:t>
            </w:r>
          </w:p>
        </w:tc>
        <w:tc>
          <w:tcPr>
            <w:tcW w:type="dxa" w:w="1656"/>
          </w:tcPr>
          <w:p>
            <w:pPr>
              <w:pStyle w:val="TableTextIEEE"/>
              <w:keepNext/>
            </w:pPr>
            <w:r>
              <w:rPr>
                <w:rFonts w:ascii="Times New Roman" w:hAnsi="Times New Roman" w:eastAsia="Times New Roman" w:cs="Times New Roman"/>
                <w:sz w:val="15"/>
              </w:rPr>
              <w:t>Hash recomputed from content and salt</w:t>
            </w:r>
          </w:p>
        </w:tc>
      </w:tr>
      <w:tr>
        <w:trPr>
          <w:cantSplit/>
        </w:trPr>
        <w:tc>
          <w:tcPr>
            <w:tcW w:type="dxa" w:w="1728"/>
          </w:tcPr>
          <w:p>
            <w:pPr>
              <w:pStyle w:val="TableTextIEEE"/>
              <w:keepNext/>
            </w:pPr>
            <w:r>
              <w:rPr>
                <w:rFonts w:ascii="Times New Roman" w:hAnsi="Times New Roman" w:eastAsia="Times New Roman" w:cs="Times New Roman"/>
                <w:sz w:val="15"/>
              </w:rPr>
              <w:t>A1 reuses manager signature as HR's</w:t>
            </w:r>
          </w:p>
        </w:tc>
        <w:tc>
          <w:tcPr>
            <w:tcW w:type="dxa" w:w="1656"/>
          </w:tcPr>
          <w:p>
            <w:pPr>
              <w:pStyle w:val="TableTextIEEE"/>
              <w:keepNext/>
            </w:pPr>
            <w:r>
              <w:rPr>
                <w:rFonts w:ascii="Times New Roman" w:hAnsi="Times New Roman" w:eastAsia="Times New Roman" w:cs="Times New Roman"/>
                <w:sz w:val="15"/>
              </w:rPr>
              <w:t>Detected</w:t>
            </w:r>
          </w:p>
        </w:tc>
        <w:tc>
          <w:tcPr>
            <w:tcW w:type="dxa" w:w="1656"/>
          </w:tcPr>
          <w:p>
            <w:pPr>
              <w:pStyle w:val="TableTextIEEE"/>
              <w:keepNext/>
            </w:pPr>
            <w:r>
              <w:rPr>
                <w:rFonts w:ascii="Times New Roman" w:hAnsi="Times New Roman" w:eastAsia="Times New Roman" w:cs="Times New Roman"/>
                <w:sz w:val="15"/>
              </w:rPr>
              <w:t>Role and member id inside signed statement</w:t>
            </w:r>
          </w:p>
        </w:tc>
      </w:tr>
      <w:tr>
        <w:trPr>
          <w:cantSplit/>
        </w:trPr>
        <w:tc>
          <w:tcPr>
            <w:tcW w:type="dxa" w:w="1728"/>
          </w:tcPr>
          <w:p>
            <w:pPr>
              <w:pStyle w:val="TableTextIEEE"/>
              <w:keepNext/>
            </w:pPr>
            <w:r>
              <w:rPr>
                <w:rFonts w:ascii="Times New Roman" w:hAnsi="Times New Roman" w:eastAsia="Times New Roman" w:cs="Times New Roman"/>
                <w:sz w:val="15"/>
              </w:rPr>
              <w:t>A2 reads a dump or SQL console</w:t>
            </w:r>
          </w:p>
        </w:tc>
        <w:tc>
          <w:tcPr>
            <w:tcW w:type="dxa" w:w="1656"/>
          </w:tcPr>
          <w:p>
            <w:pPr>
              <w:pStyle w:val="TableTextIEEE"/>
              <w:keepNext/>
            </w:pPr>
            <w:r>
              <w:rPr>
                <w:rFonts w:ascii="Times New Roman" w:hAnsi="Times New Roman" w:eastAsia="Times New Roman" w:cs="Times New Roman"/>
                <w:sz w:val="15"/>
              </w:rPr>
              <w:t>Sealed fields unreadable; hash, e-mail, names visible</w:t>
            </w:r>
          </w:p>
        </w:tc>
        <w:tc>
          <w:tcPr>
            <w:tcW w:type="dxa" w:w="1656"/>
          </w:tcPr>
          <w:p>
            <w:pPr>
              <w:pStyle w:val="TableTextIEEE"/>
              <w:keepNext/>
            </w:pPr>
            <w:r>
              <w:rPr>
                <w:rFonts w:ascii="Times New Roman" w:hAnsi="Times New Roman" w:eastAsia="Times New Roman" w:cs="Times New Roman"/>
                <w:sz w:val="15"/>
              </w:rPr>
              <w:t>AES-256-GCM envelopes (Table IV)</w:t>
            </w:r>
          </w:p>
        </w:tc>
      </w:tr>
      <w:tr>
        <w:trPr>
          <w:cantSplit/>
        </w:trPr>
        <w:tc>
          <w:tcPr>
            <w:tcW w:type="dxa" w:w="1728"/>
          </w:tcPr>
          <w:p>
            <w:pPr>
              <w:pStyle w:val="TableTextIEEE"/>
              <w:keepNext/>
            </w:pPr>
            <w:r>
              <w:rPr>
                <w:rFonts w:ascii="Times New Roman" w:hAnsi="Times New Roman" w:eastAsia="Times New Roman" w:cs="Times New Roman"/>
                <w:sz w:val="15"/>
              </w:rPr>
              <w:t>A3 plants a self-consistent row with own key</w:t>
            </w:r>
          </w:p>
        </w:tc>
        <w:tc>
          <w:tcPr>
            <w:tcW w:type="dxa" w:w="1656"/>
          </w:tcPr>
          <w:p>
            <w:pPr>
              <w:pStyle w:val="TableTextIEEE"/>
              <w:keepNext/>
            </w:pPr>
            <w:r>
              <w:rPr>
                <w:rFonts w:ascii="Times New Roman" w:hAnsi="Times New Roman" w:eastAsia="Times New Roman" w:cs="Times New Roman"/>
                <w:sz w:val="15"/>
              </w:rPr>
              <w:t>Refused on read; not anchored (production)</w:t>
            </w:r>
          </w:p>
        </w:tc>
        <w:tc>
          <w:tcPr>
            <w:tcW w:type="dxa" w:w="1656"/>
          </w:tcPr>
          <w:p>
            <w:pPr>
              <w:pStyle w:val="TableTextIEEE"/>
              <w:keepNext/>
            </w:pPr>
            <w:r>
              <w:rPr>
                <w:rFonts w:ascii="Times New Roman" w:hAnsi="Times New Roman" w:eastAsia="Times New Roman" w:cs="Times New Roman"/>
                <w:sz w:val="15"/>
              </w:rPr>
              <w:t>Strict reads; batch integrity gate</w:t>
            </w:r>
          </w:p>
        </w:tc>
      </w:tr>
      <w:tr>
        <w:trPr>
          <w:cantSplit/>
        </w:trPr>
        <w:tc>
          <w:tcPr>
            <w:tcW w:type="dxa" w:w="1728"/>
          </w:tcPr>
          <w:p>
            <w:pPr>
              <w:pStyle w:val="TableTextIEEE"/>
              <w:keepNext/>
            </w:pPr>
            <w:r>
              <w:rPr>
                <w:rFonts w:ascii="Times New Roman" w:hAnsi="Times New Roman" w:eastAsia="Times New Roman" w:cs="Times New Roman"/>
                <w:sz w:val="15"/>
              </w:rPr>
              <w:t>A3 swaps a document's pinned key</w:t>
            </w:r>
          </w:p>
        </w:tc>
        <w:tc>
          <w:tcPr>
            <w:tcW w:type="dxa" w:w="1656"/>
          </w:tcPr>
          <w:p>
            <w:pPr>
              <w:pStyle w:val="TableTextIEEE"/>
              <w:keepNext/>
            </w:pPr>
            <w:r>
              <w:rPr>
                <w:rFonts w:ascii="Times New Roman" w:hAnsi="Times New Roman" w:eastAsia="Times New Roman" w:cs="Times New Roman"/>
                <w:sz w:val="15"/>
              </w:rPr>
              <w:t>Signatures fail: denial of service, no forgery</w:t>
            </w:r>
          </w:p>
        </w:tc>
        <w:tc>
          <w:tcPr>
            <w:tcW w:type="dxa" w:w="1656"/>
          </w:tcPr>
          <w:p>
            <w:pPr>
              <w:pStyle w:val="TableTextIEEE"/>
              <w:keepNext/>
            </w:pPr>
            <w:r>
              <w:rPr>
                <w:rFonts w:ascii="Times New Roman" w:hAnsi="Times New Roman" w:eastAsia="Times New Roman" w:cs="Times New Roman"/>
                <w:sz w:val="15"/>
              </w:rPr>
              <w:t>Signature check against pinned key</w:t>
            </w:r>
          </w:p>
        </w:tc>
      </w:tr>
      <w:tr>
        <w:trPr>
          <w:cantSplit/>
        </w:trPr>
        <w:tc>
          <w:tcPr>
            <w:tcW w:type="dxa" w:w="1728"/>
          </w:tcPr>
          <w:p>
            <w:pPr>
              <w:pStyle w:val="TableTextIEEE"/>
              <w:keepNext/>
            </w:pPr>
            <w:r>
              <w:rPr>
                <w:rFonts w:ascii="Times New Roman" w:hAnsi="Times New Roman" w:eastAsia="Times New Roman" w:cs="Times New Roman"/>
                <w:sz w:val="15"/>
              </w:rPr>
              <w:t>A3 grants itself manager and HR roles, then issues via the app</w:t>
            </w:r>
          </w:p>
        </w:tc>
        <w:tc>
          <w:tcPr>
            <w:tcW w:type="dxa" w:w="1656"/>
          </w:tcPr>
          <w:p>
            <w:pPr>
              <w:pStyle w:val="TableTextIEEE"/>
              <w:keepNext/>
            </w:pPr>
            <w:r>
              <w:rPr>
                <w:rFonts w:ascii="Times New Roman" w:hAnsi="Times New Roman" w:eastAsia="Times New Roman" w:cs="Times New Roman"/>
                <w:b/>
                <w:sz w:val="15"/>
              </w:rPr>
              <w:t>Succeeds</w:t>
            </w:r>
          </w:p>
        </w:tc>
        <w:tc>
          <w:tcPr>
            <w:tcW w:type="dxa" w:w="1656"/>
          </w:tcPr>
          <w:p>
            <w:pPr>
              <w:pStyle w:val="TableTextIEEE"/>
              <w:keepNext/>
            </w:pPr>
            <w:r>
              <w:rPr>
                <w:rFonts w:ascii="Times New Roman" w:hAnsi="Times New Roman" w:eastAsia="Times New Roman" w:cs="Times New Roman"/>
                <w:sz w:val="15"/>
              </w:rPr>
              <w:t>Membership rows are plaintext and unaudited</w:t>
            </w:r>
          </w:p>
        </w:tc>
      </w:tr>
      <w:tr>
        <w:trPr>
          <w:cantSplit/>
        </w:trPr>
        <w:tc>
          <w:tcPr>
            <w:tcW w:type="dxa" w:w="1728"/>
          </w:tcPr>
          <w:p>
            <w:pPr>
              <w:pStyle w:val="TableTextIEEE"/>
              <w:keepNext/>
            </w:pPr>
            <w:r>
              <w:rPr>
                <w:rFonts w:ascii="Times New Roman" w:hAnsi="Times New Roman" w:eastAsia="Times New Roman" w:cs="Times New Roman"/>
                <w:sz w:val="15"/>
              </w:rPr>
              <w:t>A4 holds the master key</w:t>
            </w:r>
          </w:p>
        </w:tc>
        <w:tc>
          <w:tcPr>
            <w:tcW w:type="dxa" w:w="1656"/>
          </w:tcPr>
          <w:p>
            <w:pPr>
              <w:pStyle w:val="TableTextIEEE"/>
              <w:keepNext/>
            </w:pPr>
            <w:r>
              <w:rPr>
                <w:rFonts w:ascii="Times New Roman" w:hAnsi="Times New Roman" w:eastAsia="Times New Roman" w:cs="Times New Roman"/>
                <w:sz w:val="15"/>
              </w:rPr>
              <w:t>Can sign as any organisation; cannot alter past anchors or downloaded credentials</w:t>
            </w:r>
          </w:p>
        </w:tc>
        <w:tc>
          <w:tcPr>
            <w:tcW w:type="dxa" w:w="1656"/>
          </w:tcPr>
          <w:p>
            <w:pPr>
              <w:pStyle w:val="TableTextIEEE"/>
              <w:keepNext/>
            </w:pPr>
            <w:r>
              <w:rPr>
                <w:rFonts w:ascii="Times New Roman" w:hAnsi="Times New Roman" w:eastAsia="Times New Roman" w:cs="Times New Roman"/>
                <w:sz w:val="15"/>
              </w:rPr>
              <w:t>Chain is append-only; offline proof</w:t>
            </w:r>
          </w:p>
        </w:tc>
      </w:tr>
      <w:tr>
        <w:trPr>
          <w:cantSplit/>
        </w:trPr>
        <w:tc>
          <w:tcPr>
            <w:tcW w:type="dxa" w:w="1728"/>
          </w:tcPr>
          <w:p>
            <w:pPr>
              <w:pStyle w:val="TableTextIEEE"/>
              <w:keepNext/>
            </w:pPr>
            <w:r>
              <w:rPr>
                <w:rFonts w:ascii="Times New Roman" w:hAnsi="Times New Roman" w:eastAsia="Times New Roman" w:cs="Times New Roman"/>
                <w:sz w:val="15"/>
              </w:rPr>
              <w:t>A5 issues a false but well-formed letter</w:t>
            </w:r>
          </w:p>
        </w:tc>
        <w:tc>
          <w:tcPr>
            <w:tcW w:type="dxa" w:w="1656"/>
          </w:tcPr>
          <w:p>
            <w:pPr>
              <w:pStyle w:val="TableTextIEEE"/>
              <w:keepNext/>
            </w:pPr>
            <w:r>
              <w:rPr>
                <w:rFonts w:ascii="Times New Roman" w:hAnsi="Times New Roman" w:eastAsia="Times New Roman" w:cs="Times New Roman"/>
                <w:sz w:val="15"/>
              </w:rPr>
              <w:t>Verifies; truth is not established</w:t>
            </w:r>
          </w:p>
        </w:tc>
        <w:tc>
          <w:tcPr>
            <w:tcW w:type="dxa" w:w="1656"/>
          </w:tcPr>
          <w:p>
            <w:pPr>
              <w:pStyle w:val="TableTextIEEE"/>
              <w:keepNext/>
            </w:pPr>
            <w:r>
              <w:rPr>
                <w:rFonts w:ascii="Times New Roman" w:hAnsi="Times New Roman" w:eastAsia="Times New Roman" w:cs="Times New Roman"/>
                <w:sz w:val="15"/>
              </w:rPr>
              <w:t>Out of scope (Section III)</w:t>
            </w:r>
          </w:p>
        </w:tc>
      </w:tr>
      <w:tr>
        <w:trPr>
          <w:cantSplit/>
        </w:trPr>
        <w:tc>
          <w:tcPr>
            <w:tcW w:type="dxa" w:w="1728"/>
          </w:tcPr>
          <w:p>
            <w:pPr>
              <w:pStyle w:val="TableTextIEEE"/>
              <w:keepNext/>
            </w:pPr>
            <w:r>
              <w:rPr>
                <w:rFonts w:ascii="Times New Roman" w:hAnsi="Times New Roman" w:eastAsia="Times New Roman" w:cs="Times New Roman"/>
                <w:sz w:val="15"/>
              </w:rPr>
              <w:t>Forged credential with attacker's key</w:t>
            </w:r>
          </w:p>
        </w:tc>
        <w:tc>
          <w:tcPr>
            <w:tcW w:type="dxa" w:w="1656"/>
          </w:tcPr>
          <w:p>
            <w:pPr>
              <w:pStyle w:val="TableTextIEEE"/>
              <w:keepNext/>
            </w:pPr>
            <w:r>
              <w:rPr>
                <w:rFonts w:ascii="Times New Roman" w:hAnsi="Times New Roman" w:eastAsia="Times New Roman" w:cs="Times New Roman"/>
                <w:sz w:val="15"/>
              </w:rPr>
              <w:t>Offline checks pass; key fingerprint differs</w:t>
            </w:r>
          </w:p>
        </w:tc>
        <w:tc>
          <w:tcPr>
            <w:tcW w:type="dxa" w:w="1656"/>
          </w:tcPr>
          <w:p>
            <w:pPr>
              <w:pStyle w:val="TableTextIEEE"/>
              <w:keepNext/>
            </w:pPr>
            <w:r>
              <w:rPr>
                <w:rFonts w:ascii="Times New Roman" w:hAnsi="Times New Roman" w:eastAsia="Times New Roman" w:cs="Times New Roman"/>
                <w:sz w:val="15"/>
              </w:rPr>
              <w:t>Out-of-band fingerprint check</w:t>
            </w:r>
          </w:p>
        </w:tc>
      </w:tr>
      <w:tr>
        <w:trPr>
          <w:cantSplit/>
        </w:trPr>
        <w:tc>
          <w:tcPr>
            <w:tcW w:type="dxa" w:w="1728"/>
          </w:tcPr>
          <w:p>
            <w:pPr>
              <w:pStyle w:val="TableTextIEEE"/>
              <w:keepNext/>
            </w:pPr>
            <w:r>
              <w:rPr>
                <w:rFonts w:ascii="Times New Roman" w:hAnsi="Times New Roman" w:eastAsia="Times New Roman" w:cs="Times New Roman"/>
                <w:sz w:val="15"/>
              </w:rPr>
              <w:t>A6 chain unreachable</w:t>
            </w:r>
          </w:p>
        </w:tc>
        <w:tc>
          <w:tcPr>
            <w:tcW w:type="dxa" w:w="1656"/>
          </w:tcPr>
          <w:p>
            <w:pPr>
              <w:pStyle w:val="TableTextIEEE"/>
              <w:keepNext/>
            </w:pPr>
            <w:r>
              <w:rPr>
                <w:rFonts w:ascii="Times New Roman" w:hAnsi="Times New Roman" w:eastAsia="Times New Roman" w:cs="Times New Roman"/>
                <w:sz w:val="15"/>
              </w:rPr>
              <w:t>PENDING, not INVALID</w:t>
            </w:r>
          </w:p>
        </w:tc>
        <w:tc>
          <w:tcPr>
            <w:tcW w:type="dxa" w:w="1656"/>
          </w:tcPr>
          <w:p>
            <w:pPr>
              <w:pStyle w:val="TableTextIEEE"/>
              <w:keepNext/>
            </w:pPr>
            <w:r>
              <w:rPr>
                <w:rFonts w:ascii="Times New Roman" w:hAnsi="Times New Roman" w:eastAsia="Times New Roman" w:cs="Times New Roman"/>
                <w:sz w:val="15"/>
              </w:rPr>
              <w:t>Local proof check; 10 s RPC bound</w:t>
            </w:r>
          </w:p>
        </w:tc>
      </w:tr>
      <w:tr>
        <w:trPr>
          <w:cantSplit/>
        </w:trPr>
        <w:tc>
          <w:tcPr>
            <w:tcW w:type="dxa" w:w="1728"/>
          </w:tcPr>
          <w:p>
            <w:pPr>
              <w:pStyle w:val="TableTextIEEE"/>
            </w:pPr>
            <w:r>
              <w:rPr>
                <w:rFonts w:ascii="Times New Roman" w:hAnsi="Times New Roman" w:eastAsia="Times New Roman" w:cs="Times New Roman"/>
                <w:sz w:val="15"/>
              </w:rPr>
              <w:t>Operator offline</w:t>
            </w:r>
          </w:p>
        </w:tc>
        <w:tc>
          <w:tcPr>
            <w:tcW w:type="dxa" w:w="1656"/>
          </w:tcPr>
          <w:p>
            <w:pPr>
              <w:pStyle w:val="TableTextIEEE"/>
            </w:pPr>
            <w:r>
              <w:rPr>
                <w:rFonts w:ascii="Times New Roman" w:hAnsi="Times New Roman" w:eastAsia="Times New Roman" w:cs="Times New Roman"/>
                <w:sz w:val="15"/>
              </w:rPr>
              <w:t>Offline verification still works</w:t>
            </w:r>
          </w:p>
        </w:tc>
        <w:tc>
          <w:tcPr>
            <w:tcW w:type="dxa" w:w="1656"/>
          </w:tcPr>
          <w:p>
            <w:pPr>
              <w:pStyle w:val="TableTextIEEE"/>
            </w:pPr>
            <w:r>
              <w:rPr>
                <w:rFonts w:ascii="Times New Roman" w:hAnsi="Times New Roman" w:eastAsia="Times New Roman" w:cs="Times New Roman"/>
                <w:sz w:val="15"/>
              </w:rPr>
              <w:t>Self-contained credential file</w:t>
            </w:r>
          </w:p>
        </w:tc>
      </w:tr>
    </w:tbl>
    <w:p>
      <w:pPr>
        <w:spacing w:after="80" w:line="80" w:lineRule="exact"/>
      </w:pPr>
    </w:p>
    <w:p>
      <w:pPr>
        <w:pStyle w:val="Heading1"/>
      </w:pPr>
      <w:r>
        <w:t>X. Limitations</w:t>
      </w:r>
    </w:p>
    <w:p>
      <w:pPr>
        <w:pStyle w:val="BodyTextIEEE"/>
        <w:ind w:firstLine="0"/>
      </w:pPr>
      <w:r>
        <w:rPr>
          <w:rFonts w:ascii="Times New Roman" w:hAnsi="Times New Roman" w:eastAsia="Times New Roman" w:cs="Times New Roman"/>
        </w:rPr>
        <w:t>We list limitations of the current implementation without softening them.</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One custodial key per organisation.</w:t>
      </w:r>
      <w:r>
        <w:rPr>
          <w:rFonts w:ascii="Times New Roman" w:hAnsi="Times New Roman" w:eastAsia="Times New Roman" w:cs="Times New Roman"/>
        </w:rPr>
        <w:t xml:space="preserve"> Both signatures come from one key held by the platform. Separation of duties rests on the application, and a compromised operator can sign as any organisation.</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Master key as an environment secret.</w:t>
      </w:r>
      <w:r>
        <w:rPr>
          <w:rFonts w:ascii="Times New Roman" w:hAnsi="Times New Roman" w:eastAsia="Times New Roman" w:cs="Times New Roman"/>
        </w:rPr>
        <w:t xml:space="preserve"> There is no HSM or cloud KMS and no master-key rotation tooling; only local-disk and Supabase-bucket key stores exist.</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Domain verification is bypassed in the demo deployment.</w:t>
      </w:r>
      <w:r>
        <w:rPr>
          <w:rFonts w:ascii="Times New Roman" w:hAnsi="Times New Roman" w:eastAsia="Times New Roman" w:cs="Times New Roman"/>
        </w:rPr>
        <w:t xml:space="preserve"> With the local DNS driver every domain passes, so in that deployment issuer authenticity (R1) is not established. The real TXT-record driver is implemented but not enabled there.</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Mocked payments and e-mail.</w:t>
      </w:r>
      <w:r>
        <w:rPr>
          <w:rFonts w:ascii="Times New Roman" w:hAnsi="Times New Roman" w:eastAsia="Times New Roman" w:cs="Times New Roman"/>
        </w:rPr>
        <w:t xml:space="preserve"> Billing, share-link checkout and subscriptions use a mock provider; e-mail is written to the console in the demo.</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Testnet only.</w:t>
      </w:r>
      <w:r>
        <w:rPr>
          <w:rFonts w:ascii="Times New Roman" w:hAnsi="Times New Roman" w:eastAsia="Times New Roman" w:cs="Times New Roman"/>
        </w:rPr>
        <w:t xml:space="preserve"> Anchors sit on Polygon Amoy, a test network without the economic security of a production chain. The anchor wallet is a single hot key that is also the registry owner.</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Revocation is database-authoritative.</w:t>
      </w:r>
      <w:r>
        <w:rPr>
          <w:rFonts w:ascii="Times New Roman" w:hAnsi="Times New Roman" w:eastAsia="Times New Roman" w:cs="Times New Roman"/>
        </w:rPr>
        <w:t xml:space="preserve"> A verifier must trust the operator’s database for revocation; the on-chain flag is written without retry and can be missing.</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The ranker is not trained.</w:t>
      </w:r>
      <w:r>
        <w:rPr>
          <w:rFonts w:ascii="Times New Roman" w:hAnsi="Times New Roman" w:eastAsia="Times New Roman" w:cs="Times New Roman"/>
        </w:rPr>
        <w:t xml:space="preserve"> Section VIII states what it is. No fairness, accuracy or user study has been run on the matching feature.</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Plaintext identifiers.</w:t>
      </w:r>
      <w:r>
        <w:rPr>
          <w:rFonts w:ascii="Times New Roman" w:hAnsi="Times New Roman" w:eastAsia="Times New Roman" w:cs="Times New Roman"/>
        </w:rPr>
        <w:t xml:space="preserve"> E-mail addresses and names are stored in clear for login lookup; membership grants are neither signed nor audited, and the associated data of an envelope binds the field but not the row.</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Merkle construction.</w:t>
      </w:r>
      <w:r>
        <w:rPr>
          <w:rFonts w:ascii="Times New Roman" w:hAnsi="Times New Roman" w:eastAsia="Times New Roman" w:cs="Times New Roman"/>
        </w:rPr>
        <w:t xml:space="preserve"> Merkle leaves are raw document hashes and are not domain-separated from interior nodes as in [12]; this is not exploitable here because a verifier recomputes a leaf from content and salt, but it is not a hardened construction.</w:t>
      </w:r>
    </w:p>
    <w:p>
      <w:pPr>
        <w:pStyle w:val="BulletIEEE"/>
      </w:pPr>
      <w:r>
        <w:rPr>
          <w:rFonts w:ascii="Times New Roman" w:hAnsi="Times New Roman" w:eastAsia="Times New Roman" w:cs="Times New Roman"/>
        </w:rPr>
        <w:t xml:space="preserve">• </w:t>
      </w:r>
      <w:r>
        <w:rPr>
          <w:rFonts w:ascii="Times New Roman" w:hAnsi="Times New Roman" w:eastAsia="Times New Roman" w:cs="Times New Roman"/>
          <w:b/>
        </w:rPr>
        <w:t>Scale and assurance.</w:t>
      </w:r>
      <w:r>
        <w:rPr>
          <w:rFonts w:ascii="Times New Roman" w:hAnsi="Times New Roman" w:eastAsia="Times New Roman" w:cs="Times New Roman"/>
        </w:rPr>
        <w:t xml:space="preserve"> Rate limits and schedulers are in-process and single-instance; no external security audit, formal verification or load test has been performed.</w:t>
      </w:r>
    </w:p>
    <w:p>
      <w:pPr>
        <w:pStyle w:val="Heading1"/>
      </w:pPr>
      <w:r>
        <w:t>XI. Planned Work</w:t>
      </w:r>
    </w:p>
    <w:p>
      <w:pPr>
        <w:pStyle w:val="BodyTextIEEE"/>
        <w:ind w:firstLine="0"/>
      </w:pPr>
      <w:r>
        <w:rPr>
          <w:rFonts w:ascii="Times New Roman" w:hAnsi="Times New Roman" w:eastAsia="Times New Roman" w:cs="Times New Roman"/>
        </w:rPr>
        <w:t>The project’s roadmap lists the following items as planned, none of them implemented: an external KMS or HSM for organisation keys and per-member signing keys; deployment of the registry on a production Polygon network with a multisig owner; mirroring of Merkle roots and proofs to IPFS and a public repository; real payment metering, cloud object storage and transactional e-mail; a blind index for e-mail and names; auditing or signing of membership grants and a key-history check for pinned keys; binding envelope associated data to the row; pinning the database CA; and distributed rate limiting and job queues.</w:t>
      </w:r>
    </w:p>
    <w:p>
      <w:pPr>
        <w:pStyle w:val="Heading1"/>
      </w:pPr>
      <w:r>
        <w:t>XII. Conclusion</w:t>
      </w:r>
    </w:p>
    <w:p>
      <w:pPr>
        <w:pStyle w:val="BodyTextIEEE"/>
        <w:ind w:firstLine="0"/>
      </w:pPr>
      <w:r>
        <w:rPr>
          <w:rFonts w:ascii="Times New Roman" w:hAnsi="Times New Roman" w:eastAsia="Times New Roman" w:cs="Times New Roman"/>
        </w:rPr>
        <w:t>CareerVault shows that employment documents can be issued with role-bound dual approval, verified in seconds by an anonymous party, and re-verified offline from a single file, while only a 32-byte Merkle root per day touches a public ledger and holders retain a path to erasure. Measured primitive costs are small: proofs stay below 600 bytes for 100,000 documents and verify in tens of microseconds. The system’s guarantees are conditional, and we have stated the conditions: one custodial key per organisation, a database that remains authoritative for revocation, a demo deployment with domain checks bypassed, and a ranker that explains a hand-set scoring function rather than a learned one. Closing those gaps is the work that separates this implementation from a production trust service.</w:t>
      </w:r>
    </w:p>
    <w:p>
      <w:pPr>
        <w:pStyle w:val="Heading1"/>
      </w:pPr>
      <w:r>
        <w:t>References</w:t>
      </w:r>
    </w:p>
    <w:p>
      <w:pPr>
        <w:pStyle w:val="ReferenceIEEE"/>
        <w:tabs>
          <w:tab w:pos="432" w:val="left"/>
        </w:tabs>
        <w:jc w:val="left"/>
      </w:pPr>
      <w:r>
        <w:t>[1]</w:t>
        <w:tab/>
      </w:r>
      <w:r>
        <w:rPr>
          <w:rFonts w:ascii="Times New Roman" w:hAnsi="Times New Roman" w:eastAsia="Times New Roman" w:cs="Times New Roman"/>
          <w:sz w:val="16"/>
        </w:rPr>
        <w:t xml:space="preserve">“AuthBridge exposes India’s hiring red flags,” </w:t>
      </w:r>
      <w:r>
        <w:rPr>
          <w:rFonts w:ascii="Times New Roman" w:hAnsi="Times New Roman" w:eastAsia="Times New Roman" w:cs="Times New Roman"/>
          <w:i/>
          <w:sz w:val="16"/>
        </w:rPr>
        <w:t>CXOToday</w:t>
      </w:r>
      <w:r>
        <w:rPr>
          <w:rFonts w:ascii="Times New Roman" w:hAnsi="Times New Roman" w:eastAsia="Times New Roman" w:cs="Times New Roman"/>
          <w:sz w:val="16"/>
        </w:rPr>
        <w:t>, 2025. [Online]. Available: https://cxotoday.com/press-release/authbridge-exposes-indias-hiring-red-flags/</w:t>
      </w:r>
    </w:p>
    <w:p>
      <w:pPr>
        <w:pStyle w:val="ReferenceIEEE"/>
        <w:tabs>
          <w:tab w:pos="432" w:val="left"/>
        </w:tabs>
        <w:jc w:val="left"/>
      </w:pPr>
      <w:r>
        <w:t>[2]</w:t>
        <w:tab/>
      </w:r>
      <w:r>
        <w:rPr>
          <w:rFonts w:ascii="Times New Roman" w:hAnsi="Times New Roman" w:eastAsia="Times New Roman" w:cs="Times New Roman"/>
          <w:sz w:val="16"/>
        </w:rPr>
        <w:t xml:space="preserve">“HireRight’s latest study reveals resume fraud in India,” </w:t>
      </w:r>
      <w:r>
        <w:rPr>
          <w:rFonts w:ascii="Times New Roman" w:hAnsi="Times New Roman" w:eastAsia="Times New Roman" w:cs="Times New Roman"/>
          <w:i/>
          <w:sz w:val="16"/>
        </w:rPr>
        <w:t>People Matters</w:t>
      </w:r>
      <w:r>
        <w:rPr>
          <w:rFonts w:ascii="Times New Roman" w:hAnsi="Times New Roman" w:eastAsia="Times New Roman" w:cs="Times New Roman"/>
          <w:sz w:val="16"/>
        </w:rPr>
        <w:t>, 2015. [Online]. Available: https://www.peoplematters.in/article/background-verification/hirerights-latest-study-reveals-resume-fraud-india-11343</w:t>
      </w:r>
    </w:p>
    <w:p>
      <w:pPr>
        <w:pStyle w:val="ReferenceIEEE"/>
        <w:tabs>
          <w:tab w:pos="432" w:val="left"/>
        </w:tabs>
        <w:jc w:val="left"/>
      </w:pPr>
      <w:r>
        <w:t>[3]</w:t>
        <w:tab/>
      </w:r>
      <w:r>
        <w:rPr>
          <w:rFonts w:ascii="Times New Roman" w:hAnsi="Times New Roman" w:eastAsia="Times New Roman" w:cs="Times New Roman"/>
          <w:sz w:val="16"/>
        </w:rPr>
        <w:t xml:space="preserve">V. Marella and A. Vijayan, “Document verification using blockchain for trusted CV information,” in </w:t>
      </w:r>
      <w:r>
        <w:rPr>
          <w:rFonts w:ascii="Times New Roman" w:hAnsi="Times New Roman" w:eastAsia="Times New Roman" w:cs="Times New Roman"/>
          <w:i/>
          <w:sz w:val="16"/>
        </w:rPr>
        <w:t>Proc. Americas Conf. Inf. Syst. (AMCIS)</w:t>
      </w:r>
      <w:r>
        <w:rPr>
          <w:rFonts w:ascii="Times New Roman" w:hAnsi="Times New Roman" w:eastAsia="Times New Roman" w:cs="Times New Roman"/>
          <w:sz w:val="16"/>
        </w:rPr>
        <w:t>, 2020, Art. 12. [Online]. Available: https://aisel.aisnet.org/amcis2020/adv_info_systems_research/adv_info_systems_research/12</w:t>
      </w:r>
    </w:p>
    <w:p>
      <w:pPr>
        <w:pStyle w:val="ReferenceIEEE"/>
        <w:tabs>
          <w:tab w:pos="432" w:val="left"/>
        </w:tabs>
        <w:jc w:val="left"/>
      </w:pPr>
      <w:r>
        <w:t>[4]</w:t>
        <w:tab/>
      </w:r>
      <w:r>
        <w:rPr>
          <w:rFonts w:ascii="Times New Roman" w:hAnsi="Times New Roman" w:eastAsia="Times New Roman" w:cs="Times New Roman"/>
          <w:sz w:val="16"/>
        </w:rPr>
        <w:t xml:space="preserve">S. Haber and W. S. Stornetta, “How to time-stamp a digital document,” </w:t>
      </w:r>
      <w:r>
        <w:rPr>
          <w:rFonts w:ascii="Times New Roman" w:hAnsi="Times New Roman" w:eastAsia="Times New Roman" w:cs="Times New Roman"/>
          <w:i/>
          <w:sz w:val="16"/>
        </w:rPr>
        <w:t>J. Cryptology</w:t>
      </w:r>
      <w:r>
        <w:rPr>
          <w:rFonts w:ascii="Times New Roman" w:hAnsi="Times New Roman" w:eastAsia="Times New Roman" w:cs="Times New Roman"/>
          <w:sz w:val="16"/>
        </w:rPr>
        <w:t>, vol. 3, no. 2, pp. 99–111, 1991.</w:t>
      </w:r>
    </w:p>
    <w:p>
      <w:pPr>
        <w:pStyle w:val="ReferenceIEEE"/>
        <w:tabs>
          <w:tab w:pos="432" w:val="left"/>
        </w:tabs>
        <w:jc w:val="left"/>
      </w:pPr>
      <w:r>
        <w:t>[5]</w:t>
        <w:tab/>
      </w:r>
      <w:r>
        <w:rPr>
          <w:rFonts w:ascii="Times New Roman" w:hAnsi="Times New Roman" w:eastAsia="Times New Roman" w:cs="Times New Roman"/>
          <w:sz w:val="16"/>
        </w:rPr>
        <w:t xml:space="preserve">R. C. Merkle, “A digital signature based on a conventional encryption function,” in </w:t>
      </w:r>
      <w:r>
        <w:rPr>
          <w:rFonts w:ascii="Times New Roman" w:hAnsi="Times New Roman" w:eastAsia="Times New Roman" w:cs="Times New Roman"/>
          <w:i/>
          <w:sz w:val="16"/>
        </w:rPr>
        <w:t>Advances in Cryptology—CRYPTO ’87</w:t>
      </w:r>
      <w:r>
        <w:rPr>
          <w:rFonts w:ascii="Times New Roman" w:hAnsi="Times New Roman" w:eastAsia="Times New Roman" w:cs="Times New Roman"/>
          <w:sz w:val="16"/>
        </w:rPr>
        <w:t>, ser. LNCS, vol. 293. Berlin, Germany: Springer, 1988, pp. 369–378.</w:t>
      </w:r>
    </w:p>
    <w:p>
      <w:pPr>
        <w:pStyle w:val="ReferenceIEEE"/>
        <w:tabs>
          <w:tab w:pos="432" w:val="left"/>
        </w:tabs>
        <w:jc w:val="left"/>
      </w:pPr>
      <w:r>
        <w:t>[6]</w:t>
        <w:tab/>
      </w:r>
      <w:r>
        <w:rPr>
          <w:rFonts w:ascii="Times New Roman" w:hAnsi="Times New Roman" w:eastAsia="Times New Roman" w:cs="Times New Roman"/>
          <w:sz w:val="16"/>
        </w:rPr>
        <w:t>“OpenTimestamps,” Wikipedia. [Online]. Available: https://en.wikipedia.org/wiki/OpenTimestamps</w:t>
      </w:r>
    </w:p>
    <w:p>
      <w:pPr>
        <w:pStyle w:val="ReferenceIEEE"/>
        <w:tabs>
          <w:tab w:pos="432" w:val="left"/>
        </w:tabs>
        <w:jc w:val="left"/>
      </w:pPr>
      <w:r>
        <w:t>[7]</w:t>
        <w:tab/>
      </w:r>
      <w:r>
        <w:rPr>
          <w:rFonts w:ascii="Times New Roman" w:hAnsi="Times New Roman" w:eastAsia="Times New Roman" w:cs="Times New Roman"/>
          <w:sz w:val="16"/>
        </w:rPr>
        <w:t xml:space="preserve">“MIT pilots digital diplomas based on Bitcoin’s blockchain,” </w:t>
      </w:r>
      <w:r>
        <w:rPr>
          <w:rFonts w:ascii="Times New Roman" w:hAnsi="Times New Roman" w:eastAsia="Times New Roman" w:cs="Times New Roman"/>
          <w:i/>
          <w:sz w:val="16"/>
        </w:rPr>
        <w:t>Campus Technology</w:t>
      </w:r>
      <w:r>
        <w:rPr>
          <w:rFonts w:ascii="Times New Roman" w:hAnsi="Times New Roman" w:eastAsia="Times New Roman" w:cs="Times New Roman"/>
          <w:sz w:val="16"/>
        </w:rPr>
        <w:t>, Oct. 19, 2017. [Online]. Available: https://campustechnology.com/Articles/2017/10/19/MIT-Pilots-Digital-Diplomas-Based-on-Bitcoins-Blockchain.aspx</w:t>
      </w:r>
    </w:p>
    <w:p>
      <w:pPr>
        <w:pStyle w:val="ReferenceIEEE"/>
        <w:tabs>
          <w:tab w:pos="432" w:val="left"/>
        </w:tabs>
        <w:jc w:val="left"/>
      </w:pPr>
      <w:r>
        <w:t>[8]</w:t>
        <w:tab/>
      </w:r>
      <w:r>
        <w:rPr>
          <w:rFonts w:ascii="Times New Roman" w:hAnsi="Times New Roman" w:eastAsia="Times New Roman" w:cs="Times New Roman"/>
          <w:sz w:val="16"/>
        </w:rPr>
        <w:t xml:space="preserve">M. Turkanović, M. Hölbl, K. Košič, M. Heričko, and A. Kamišalić, “EduCTX: A blockchain-based higher education credit platform,” </w:t>
      </w:r>
      <w:r>
        <w:rPr>
          <w:rFonts w:ascii="Times New Roman" w:hAnsi="Times New Roman" w:eastAsia="Times New Roman" w:cs="Times New Roman"/>
          <w:i/>
          <w:sz w:val="16"/>
        </w:rPr>
        <w:t>IEEE Access</w:t>
      </w:r>
      <w:r>
        <w:rPr>
          <w:rFonts w:ascii="Times New Roman" w:hAnsi="Times New Roman" w:eastAsia="Times New Roman" w:cs="Times New Roman"/>
          <w:sz w:val="16"/>
        </w:rPr>
        <w:t>, vol. 6, pp. 5112–5127, 2018, doi: 10.1109/ACCESS.2018.2789929.</w:t>
      </w:r>
    </w:p>
    <w:p>
      <w:pPr>
        <w:pStyle w:val="ReferenceIEEE"/>
        <w:tabs>
          <w:tab w:pos="432" w:val="left"/>
        </w:tabs>
        <w:jc w:val="left"/>
      </w:pPr>
      <w:r>
        <w:t>[9]</w:t>
        <w:tab/>
      </w:r>
      <w:r>
        <w:rPr>
          <w:rFonts w:ascii="Times New Roman" w:hAnsi="Times New Roman" w:eastAsia="Times New Roman" w:cs="Times New Roman"/>
          <w:sz w:val="16"/>
        </w:rPr>
        <w:t xml:space="preserve">W. Gräther </w:t>
      </w:r>
      <w:r>
        <w:rPr>
          <w:rFonts w:ascii="Times New Roman" w:hAnsi="Times New Roman" w:eastAsia="Times New Roman" w:cs="Times New Roman"/>
          <w:i/>
          <w:sz w:val="16"/>
        </w:rPr>
        <w:t>et al.</w:t>
      </w:r>
      <w:r>
        <w:rPr>
          <w:rFonts w:ascii="Times New Roman" w:hAnsi="Times New Roman" w:eastAsia="Times New Roman" w:cs="Times New Roman"/>
          <w:sz w:val="16"/>
        </w:rPr>
        <w:t xml:space="preserve">, “Blockchain for education: Lifelong learning passport,” in </w:t>
      </w:r>
      <w:r>
        <w:rPr>
          <w:rFonts w:ascii="Times New Roman" w:hAnsi="Times New Roman" w:eastAsia="Times New Roman" w:cs="Times New Roman"/>
          <w:i/>
          <w:sz w:val="16"/>
        </w:rPr>
        <w:t>Proc. 1st ERCIM Blockchain Workshop</w:t>
      </w:r>
      <w:r>
        <w:rPr>
          <w:rFonts w:ascii="Times New Roman" w:hAnsi="Times New Roman" w:eastAsia="Times New Roman" w:cs="Times New Roman"/>
          <w:sz w:val="16"/>
        </w:rPr>
        <w:t>, EUSSET, 2018, doi: 10.18420/blockchain2018_07.</w:t>
      </w:r>
    </w:p>
    <w:p>
      <w:pPr>
        <w:pStyle w:val="ReferenceIEEE"/>
        <w:tabs>
          <w:tab w:pos="432" w:val="left"/>
        </w:tabs>
        <w:jc w:val="left"/>
      </w:pPr>
      <w:r>
        <w:t>[10]</w:t>
        <w:tab/>
      </w:r>
      <w:r>
        <w:rPr>
          <w:rFonts w:ascii="Times New Roman" w:hAnsi="Times New Roman" w:eastAsia="Times New Roman" w:cs="Times New Roman"/>
          <w:sz w:val="16"/>
        </w:rPr>
        <w:t>P. Herbke, A. Sapkota, and S. Lamichhane, “Lifecycle management of resumés with decentralized identifiers and verifiable credentials,” arXiv:2406.11535, 2024.</w:t>
      </w:r>
    </w:p>
    <w:p>
      <w:pPr>
        <w:pStyle w:val="ReferenceIEEE"/>
        <w:tabs>
          <w:tab w:pos="432" w:val="left"/>
        </w:tabs>
        <w:jc w:val="left"/>
      </w:pPr>
      <w:r>
        <w:t>[11]</w:t>
        <w:tab/>
      </w:r>
      <w:r>
        <w:rPr>
          <w:rFonts w:ascii="Times New Roman" w:hAnsi="Times New Roman" w:eastAsia="Times New Roman" w:cs="Times New Roman"/>
          <w:sz w:val="16"/>
        </w:rPr>
        <w:t xml:space="preserve">K. Peffers, T. Tuunanen, M. A. Rothenberger, and S. Chatterjee, “A design science research methodology for information systems research,” </w:t>
      </w:r>
      <w:r>
        <w:rPr>
          <w:rFonts w:ascii="Times New Roman" w:hAnsi="Times New Roman" w:eastAsia="Times New Roman" w:cs="Times New Roman"/>
          <w:i/>
          <w:sz w:val="16"/>
        </w:rPr>
        <w:t>J. Manage. Inf. Syst.</w:t>
      </w:r>
      <w:r>
        <w:rPr>
          <w:rFonts w:ascii="Times New Roman" w:hAnsi="Times New Roman" w:eastAsia="Times New Roman" w:cs="Times New Roman"/>
          <w:sz w:val="16"/>
        </w:rPr>
        <w:t>, vol. 24, no. 3, pp. 45–77, 2007, doi: 10.2753/MIS0742-1222240302.</w:t>
      </w:r>
    </w:p>
    <w:p>
      <w:pPr>
        <w:pStyle w:val="ReferenceIEEE"/>
        <w:tabs>
          <w:tab w:pos="432" w:val="left"/>
        </w:tabs>
        <w:jc w:val="left"/>
      </w:pPr>
      <w:r>
        <w:t>[12]</w:t>
        <w:tab/>
      </w:r>
      <w:r>
        <w:rPr>
          <w:rFonts w:ascii="Times New Roman" w:hAnsi="Times New Roman" w:eastAsia="Times New Roman" w:cs="Times New Roman"/>
          <w:sz w:val="16"/>
        </w:rPr>
        <w:t>B. Laurie, E. Messeri, and R. Stradling, “Certificate Transparency version 2.0,” IETF, RFC 9162, Dec. 2021.</w:t>
      </w:r>
    </w:p>
    <w:p>
      <w:pPr>
        <w:pStyle w:val="ReferenceIEEE"/>
        <w:tabs>
          <w:tab w:pos="432" w:val="left"/>
        </w:tabs>
        <w:jc w:val="left"/>
      </w:pPr>
      <w:r>
        <w:t>[13]</w:t>
        <w:tab/>
      </w:r>
      <w:r>
        <w:rPr>
          <w:rFonts w:ascii="Times New Roman" w:hAnsi="Times New Roman" w:eastAsia="Times New Roman" w:cs="Times New Roman"/>
          <w:sz w:val="16"/>
        </w:rPr>
        <w:t xml:space="preserve">E. Androulaki </w:t>
      </w:r>
      <w:r>
        <w:rPr>
          <w:rFonts w:ascii="Times New Roman" w:hAnsi="Times New Roman" w:eastAsia="Times New Roman" w:cs="Times New Roman"/>
          <w:i/>
          <w:sz w:val="16"/>
        </w:rPr>
        <w:t>et al.</w:t>
      </w:r>
      <w:r>
        <w:rPr>
          <w:rFonts w:ascii="Times New Roman" w:hAnsi="Times New Roman" w:eastAsia="Times New Roman" w:cs="Times New Roman"/>
          <w:sz w:val="16"/>
        </w:rPr>
        <w:t xml:space="preserve">, “Hyperledger Fabric: A distributed operating system for permissioned blockchains,” in </w:t>
      </w:r>
      <w:r>
        <w:rPr>
          <w:rFonts w:ascii="Times New Roman" w:hAnsi="Times New Roman" w:eastAsia="Times New Roman" w:cs="Times New Roman"/>
          <w:i/>
          <w:sz w:val="16"/>
        </w:rPr>
        <w:t>Proc. 13th EuroSys Conf.</w:t>
      </w:r>
      <w:r>
        <w:rPr>
          <w:rFonts w:ascii="Times New Roman" w:hAnsi="Times New Roman" w:eastAsia="Times New Roman" w:cs="Times New Roman"/>
          <w:sz w:val="16"/>
        </w:rPr>
        <w:t>, Porto, Portugal, 2018, doi: 10.1145/3190508.3190538.</w:t>
      </w:r>
    </w:p>
    <w:p>
      <w:pPr>
        <w:pStyle w:val="ReferenceIEEE"/>
        <w:tabs>
          <w:tab w:pos="432" w:val="left"/>
        </w:tabs>
        <w:jc w:val="left"/>
      </w:pPr>
      <w:r>
        <w:t>[14]</w:t>
        <w:tab/>
      </w:r>
      <w:r>
        <w:rPr>
          <w:rFonts w:ascii="Times New Roman" w:hAnsi="Times New Roman" w:eastAsia="Times New Roman" w:cs="Times New Roman"/>
          <w:sz w:val="16"/>
        </w:rPr>
        <w:t>M. Baldi, F. Chiaraluce, M. Kodra, and L. Spalazzi, “Security analysis of a blockchain-based protocol for the certification of academic credentials,” arXiv:1910.04622, 2019.</w:t>
      </w:r>
    </w:p>
    <w:p>
      <w:pPr>
        <w:pStyle w:val="ReferenceIEEE"/>
        <w:tabs>
          <w:tab w:pos="432" w:val="left"/>
        </w:tabs>
        <w:jc w:val="left"/>
      </w:pPr>
      <w:r>
        <w:t>[15]</w:t>
        <w:tab/>
      </w:r>
      <w:r>
        <w:rPr>
          <w:rFonts w:ascii="Times New Roman" w:hAnsi="Times New Roman" w:eastAsia="Times New Roman" w:cs="Times New Roman"/>
          <w:sz w:val="16"/>
        </w:rPr>
        <w:t>M. Sporny, T. Thibodeau Jr., I. Herman, G. Cohen, and M. B. Jones, Eds., “Verifiable Credentials data model v2.0,” W3C Recommendation, May 15, 2025. [Online]. Available: https://www.w3.org/TR/vc-data-model-2.0/</w:t>
      </w:r>
    </w:p>
    <w:p>
      <w:pPr>
        <w:pStyle w:val="ReferenceIEEE"/>
        <w:tabs>
          <w:tab w:pos="432" w:val="left"/>
        </w:tabs>
        <w:jc w:val="left"/>
      </w:pPr>
      <w:r>
        <w:t>[16]</w:t>
        <w:tab/>
      </w:r>
      <w:r>
        <w:rPr>
          <w:rFonts w:ascii="Times New Roman" w:hAnsi="Times New Roman" w:eastAsia="Times New Roman" w:cs="Times New Roman"/>
          <w:sz w:val="16"/>
        </w:rPr>
        <w:t xml:space="preserve">S. M. Lundberg and S.-I. Lee, “A unified approach to interpreting model predictions,” in </w:t>
      </w:r>
      <w:r>
        <w:rPr>
          <w:rFonts w:ascii="Times New Roman" w:hAnsi="Times New Roman" w:eastAsia="Times New Roman" w:cs="Times New Roman"/>
          <w:i/>
          <w:sz w:val="16"/>
        </w:rPr>
        <w:t>Advances in Neural Information Processing Systems 30 (NIPS)</w:t>
      </w:r>
      <w:r>
        <w:rPr>
          <w:rFonts w:ascii="Times New Roman" w:hAnsi="Times New Roman" w:eastAsia="Times New Roman" w:cs="Times New Roman"/>
          <w:sz w:val="16"/>
        </w:rPr>
        <w:t>, 2017.</w:t>
      </w:r>
    </w:p>
    <w:p>
      <w:pPr>
        <w:pStyle w:val="ReferenceIEEE"/>
        <w:tabs>
          <w:tab w:pos="432" w:val="left"/>
        </w:tabs>
        <w:jc w:val="left"/>
      </w:pPr>
      <w:r>
        <w:t>[17]</w:t>
        <w:tab/>
      </w:r>
      <w:r>
        <w:rPr>
          <w:rFonts w:ascii="Times New Roman" w:hAnsi="Times New Roman" w:eastAsia="Times New Roman" w:cs="Times New Roman"/>
          <w:sz w:val="16"/>
        </w:rPr>
        <w:t xml:space="preserve">S. M. Lundberg </w:t>
      </w:r>
      <w:r>
        <w:rPr>
          <w:rFonts w:ascii="Times New Roman" w:hAnsi="Times New Roman" w:eastAsia="Times New Roman" w:cs="Times New Roman"/>
          <w:i/>
          <w:sz w:val="16"/>
        </w:rPr>
        <w:t>et al.</w:t>
      </w:r>
      <w:r>
        <w:rPr>
          <w:rFonts w:ascii="Times New Roman" w:hAnsi="Times New Roman" w:eastAsia="Times New Roman" w:cs="Times New Roman"/>
          <w:sz w:val="16"/>
        </w:rPr>
        <w:t xml:space="preserve">, “From local explanations to global understanding with explainable AI for trees,” </w:t>
      </w:r>
      <w:r>
        <w:rPr>
          <w:rFonts w:ascii="Times New Roman" w:hAnsi="Times New Roman" w:eastAsia="Times New Roman" w:cs="Times New Roman"/>
          <w:i/>
          <w:sz w:val="16"/>
        </w:rPr>
        <w:t>Nat. Mach. Intell.</w:t>
      </w:r>
      <w:r>
        <w:rPr>
          <w:rFonts w:ascii="Times New Roman" w:hAnsi="Times New Roman" w:eastAsia="Times New Roman" w:cs="Times New Roman"/>
          <w:sz w:val="16"/>
        </w:rPr>
        <w:t>, vol. 2, no. 1, pp. 56–67, Jan. 2020, doi: 10.1038/s42256-019-0138-9.</w:t>
      </w:r>
    </w:p>
    <w:p>
      <w:pPr>
        <w:pStyle w:val="ReferenceIEEE"/>
        <w:tabs>
          <w:tab w:pos="432" w:val="left"/>
        </w:tabs>
        <w:jc w:val="left"/>
      </w:pPr>
      <w:r>
        <w:t>[18]</w:t>
        <w:tab/>
      </w:r>
      <w:r>
        <w:rPr>
          <w:rFonts w:ascii="Times New Roman" w:hAnsi="Times New Roman" w:eastAsia="Times New Roman" w:cs="Times New Roman"/>
          <w:sz w:val="16"/>
        </w:rPr>
        <w:t xml:space="preserve">G. Ke </w:t>
      </w:r>
      <w:r>
        <w:rPr>
          <w:rFonts w:ascii="Times New Roman" w:hAnsi="Times New Roman" w:eastAsia="Times New Roman" w:cs="Times New Roman"/>
          <w:i/>
          <w:sz w:val="16"/>
        </w:rPr>
        <w:t>et al.</w:t>
      </w:r>
      <w:r>
        <w:rPr>
          <w:rFonts w:ascii="Times New Roman" w:hAnsi="Times New Roman" w:eastAsia="Times New Roman" w:cs="Times New Roman"/>
          <w:sz w:val="16"/>
        </w:rPr>
        <w:t xml:space="preserve">, “LightGBM: A highly efficient gradient boosting decision tree,” in </w:t>
      </w:r>
      <w:r>
        <w:rPr>
          <w:rFonts w:ascii="Times New Roman" w:hAnsi="Times New Roman" w:eastAsia="Times New Roman" w:cs="Times New Roman"/>
          <w:i/>
          <w:sz w:val="16"/>
        </w:rPr>
        <w:t>Advances in Neural Information Processing Systems 30 (NIPS)</w:t>
      </w:r>
      <w:r>
        <w:rPr>
          <w:rFonts w:ascii="Times New Roman" w:hAnsi="Times New Roman" w:eastAsia="Times New Roman" w:cs="Times New Roman"/>
          <w:sz w:val="16"/>
        </w:rPr>
        <w:t>, 2017.</w:t>
      </w:r>
    </w:p>
    <w:p>
      <w:pPr>
        <w:pStyle w:val="ReferenceIEEE"/>
        <w:tabs>
          <w:tab w:pos="432" w:val="left"/>
        </w:tabs>
        <w:jc w:val="left"/>
      </w:pPr>
      <w:r>
        <w:t>[19]</w:t>
        <w:tab/>
      </w:r>
      <w:r>
        <w:rPr>
          <w:rFonts w:ascii="Times New Roman" w:hAnsi="Times New Roman" w:eastAsia="Times New Roman" w:cs="Times New Roman"/>
          <w:sz w:val="16"/>
        </w:rPr>
        <w:t xml:space="preserve">N. Reimers and I. Gurevych, “Sentence-BERT: Sentence embeddings using Siamese BERT-networks,” in </w:t>
      </w:r>
      <w:r>
        <w:rPr>
          <w:rFonts w:ascii="Times New Roman" w:hAnsi="Times New Roman" w:eastAsia="Times New Roman" w:cs="Times New Roman"/>
          <w:i/>
          <w:sz w:val="16"/>
        </w:rPr>
        <w:t>Proc. EMNLP-IJCNLP</w:t>
      </w:r>
      <w:r>
        <w:rPr>
          <w:rFonts w:ascii="Times New Roman" w:hAnsi="Times New Roman" w:eastAsia="Times New Roman" w:cs="Times New Roman"/>
          <w:sz w:val="16"/>
        </w:rPr>
        <w:t>, Hong Kong, 2019, pp. 3982–3992, doi: 10.18653/v1/D19-1410.</w:t>
      </w:r>
    </w:p>
    <w:p>
      <w:pPr>
        <w:pStyle w:val="ReferenceIEEE"/>
        <w:tabs>
          <w:tab w:pos="432" w:val="left"/>
        </w:tabs>
        <w:jc w:val="left"/>
      </w:pPr>
      <w:r>
        <w:t>[20]</w:t>
        <w:tab/>
      </w:r>
      <w:r>
        <w:rPr>
          <w:rFonts w:ascii="Times New Roman" w:hAnsi="Times New Roman" w:eastAsia="Times New Roman" w:cs="Times New Roman"/>
          <w:sz w:val="16"/>
        </w:rPr>
        <w:t xml:space="preserve">W. Wang, F. Wei, L. Dong, H. Bao, N. Yang, and M. Zhou, “MiniLM: Deep self-attention distillation for task-agnostic compression of pre-trained transformers,” in </w:t>
      </w:r>
      <w:r>
        <w:rPr>
          <w:rFonts w:ascii="Times New Roman" w:hAnsi="Times New Roman" w:eastAsia="Times New Roman" w:cs="Times New Roman"/>
          <w:i/>
          <w:sz w:val="16"/>
        </w:rPr>
        <w:t>Advances in Neural Information Processing Systems 33 (NeurIPS)</w:t>
      </w:r>
      <w:r>
        <w:rPr>
          <w:rFonts w:ascii="Times New Roman" w:hAnsi="Times New Roman" w:eastAsia="Times New Roman" w:cs="Times New Roman"/>
          <w:sz w:val="16"/>
        </w:rPr>
        <w:t>, 2020.</w:t>
      </w:r>
    </w:p>
    <w:p>
      <w:pPr>
        <w:pStyle w:val="ReferenceIEEE"/>
        <w:tabs>
          <w:tab w:pos="432" w:val="left"/>
        </w:tabs>
        <w:jc w:val="left"/>
      </w:pPr>
      <w:r>
        <w:t>[21]</w:t>
        <w:tab/>
      </w:r>
      <w:r>
        <w:rPr>
          <w:rFonts w:ascii="Times New Roman" w:hAnsi="Times New Roman" w:eastAsia="Times New Roman" w:cs="Times New Roman"/>
          <w:sz w:val="16"/>
        </w:rPr>
        <w:t>“pgvector: Open-source vector similarity search for Postgres.” [Online]. Available: https://github.com/pgvector/pgvector</w:t>
      </w:r>
    </w:p>
    <w:p>
      <w:pPr>
        <w:pStyle w:val="ReferenceIEEE"/>
        <w:tabs>
          <w:tab w:pos="432" w:val="left"/>
        </w:tabs>
        <w:jc w:val="left"/>
      </w:pPr>
      <w:r>
        <w:t>[22]</w:t>
        <w:tab/>
      </w:r>
      <w:r>
        <w:rPr>
          <w:rFonts w:ascii="Times New Roman" w:hAnsi="Times New Roman" w:eastAsia="Times New Roman" w:cs="Times New Roman"/>
          <w:sz w:val="16"/>
        </w:rPr>
        <w:t xml:space="preserve">Yu. A. Malkov and D. A. Yashunin, “Efficient and robust approximate nearest neighbor search using hierarchical navigable small world graphs,” </w:t>
      </w:r>
      <w:r>
        <w:rPr>
          <w:rFonts w:ascii="Times New Roman" w:hAnsi="Times New Roman" w:eastAsia="Times New Roman" w:cs="Times New Roman"/>
          <w:i/>
          <w:sz w:val="16"/>
        </w:rPr>
        <w:t>IEEE Trans. Pattern Anal. Mach. Intell.</w:t>
      </w:r>
      <w:r>
        <w:rPr>
          <w:rFonts w:ascii="Times New Roman" w:hAnsi="Times New Roman" w:eastAsia="Times New Roman" w:cs="Times New Roman"/>
          <w:sz w:val="16"/>
        </w:rPr>
        <w:t>, vol. 42, no. 4, pp. 824–836, Apr. 2020, doi: 10.1109/TPAMI.2018.2889473.</w:t>
      </w:r>
    </w:p>
    <w:p>
      <w:pPr>
        <w:pStyle w:val="ReferenceIEEE"/>
        <w:tabs>
          <w:tab w:pos="432" w:val="left"/>
        </w:tabs>
        <w:jc w:val="left"/>
      </w:pPr>
      <w:r>
        <w:t>[23]</w:t>
        <w:tab/>
      </w:r>
      <w:r>
        <w:rPr>
          <w:rFonts w:ascii="Times New Roman" w:hAnsi="Times New Roman" w:eastAsia="Times New Roman" w:cs="Times New Roman"/>
          <w:sz w:val="16"/>
        </w:rPr>
        <w:t xml:space="preserve">Regulation (EU) 2024/1689 of the European Parliament and of the Council laying down harmonised rules on artificial intelligence (Artificial Intelligence Act), Annex III, </w:t>
      </w:r>
      <w:r>
        <w:rPr>
          <w:rFonts w:ascii="Times New Roman" w:hAnsi="Times New Roman" w:eastAsia="Times New Roman" w:cs="Times New Roman"/>
          <w:i/>
          <w:sz w:val="16"/>
        </w:rPr>
        <w:t>Off. J. Eur. Union</w:t>
      </w:r>
      <w:r>
        <w:rPr>
          <w:rFonts w:ascii="Times New Roman" w:hAnsi="Times New Roman" w:eastAsia="Times New Roman" w:cs="Times New Roman"/>
          <w:sz w:val="16"/>
        </w:rPr>
        <w:t>, 2024.</w:t>
      </w:r>
    </w:p>
    <w:p>
      <w:pPr>
        <w:pStyle w:val="ReferenceIEEE"/>
        <w:tabs>
          <w:tab w:pos="432" w:val="left"/>
        </w:tabs>
        <w:jc w:val="left"/>
      </w:pPr>
      <w:r>
        <w:t>[24]</w:t>
        <w:tab/>
      </w:r>
      <w:r>
        <w:rPr>
          <w:rFonts w:ascii="Times New Roman" w:hAnsi="Times New Roman" w:eastAsia="Times New Roman" w:cs="Times New Roman"/>
          <w:sz w:val="16"/>
        </w:rPr>
        <w:t xml:space="preserve">N. Provos and D. Mazières, “A future-adaptable password scheme,” in </w:t>
      </w:r>
      <w:r>
        <w:rPr>
          <w:rFonts w:ascii="Times New Roman" w:hAnsi="Times New Roman" w:eastAsia="Times New Roman" w:cs="Times New Roman"/>
          <w:i/>
          <w:sz w:val="16"/>
        </w:rPr>
        <w:t>Proc. USENIX Annu. Tech. Conf.</w:t>
      </w:r>
      <w:r>
        <w:rPr>
          <w:rFonts w:ascii="Times New Roman" w:hAnsi="Times New Roman" w:eastAsia="Times New Roman" w:cs="Times New Roman"/>
          <w:sz w:val="16"/>
        </w:rPr>
        <w:t>, Monterey, CA, USA, 1999, pp. 81–92.</w:t>
      </w:r>
    </w:p>
    <w:p>
      <w:pPr>
        <w:pStyle w:val="ReferenceIEEE"/>
        <w:tabs>
          <w:tab w:pos="432" w:val="left"/>
        </w:tabs>
        <w:jc w:val="left"/>
      </w:pPr>
      <w:r>
        <w:t>[25]</w:t>
        <w:tab/>
      </w:r>
      <w:r>
        <w:rPr>
          <w:rFonts w:ascii="Times New Roman" w:hAnsi="Times New Roman" w:eastAsia="Times New Roman" w:cs="Times New Roman"/>
          <w:sz w:val="16"/>
        </w:rPr>
        <w:t>M. Jones, J. Bradley, and N. Sakimura, “JSON Web Token (JWT),” IETF, RFC 7519, May 2015.</w:t>
      </w:r>
    </w:p>
    <w:p>
      <w:pPr>
        <w:pStyle w:val="ReferenceIEEE"/>
        <w:tabs>
          <w:tab w:pos="432" w:val="left"/>
        </w:tabs>
        <w:jc w:val="left"/>
      </w:pPr>
      <w:r>
        <w:t>[26]</w:t>
        <w:tab/>
      </w:r>
      <w:r>
        <w:rPr>
          <w:rFonts w:ascii="Times New Roman" w:hAnsi="Times New Roman" w:eastAsia="Times New Roman" w:cs="Times New Roman"/>
          <w:sz w:val="16"/>
        </w:rPr>
        <w:t>A. Rundgren, B. Jordan, and S. Erdtman, “JSON Canonicalization Scheme (JCS),” IETF, RFC 8785, Jun. 2020.</w:t>
      </w:r>
    </w:p>
    <w:p>
      <w:pPr>
        <w:pStyle w:val="ReferenceIEEE"/>
        <w:tabs>
          <w:tab w:pos="432" w:val="left"/>
        </w:tabs>
        <w:jc w:val="left"/>
      </w:pPr>
      <w:r>
        <w:t>[27]</w:t>
        <w:tab/>
      </w:r>
      <w:r>
        <w:rPr>
          <w:rFonts w:ascii="Times New Roman" w:hAnsi="Times New Roman" w:eastAsia="Times New Roman" w:cs="Times New Roman"/>
          <w:sz w:val="16"/>
        </w:rPr>
        <w:t>K. Moriarty, Ed., B. Kaliski, J. Jonsson, and A. Rusch, “PKCS #1: RSA cryptography specifications version 2.2,” IETF, RFC 8017, Nov. 2016.</w:t>
      </w:r>
    </w:p>
    <w:p>
      <w:pPr>
        <w:pStyle w:val="ReferenceIEEE"/>
        <w:tabs>
          <w:tab w:pos="432" w:val="left"/>
        </w:tabs>
        <w:jc w:val="left"/>
      </w:pPr>
      <w:r>
        <w:t>[28]</w:t>
        <w:tab/>
      </w:r>
      <w:r>
        <w:rPr>
          <w:rFonts w:ascii="Times New Roman" w:hAnsi="Times New Roman" w:eastAsia="Times New Roman" w:cs="Times New Roman"/>
          <w:sz w:val="16"/>
        </w:rPr>
        <w:t>“Polygon PoS: RPC endpoints,” Polygon Docs. [Online]. Available: https://docs.polygon.technology/pos/reference/rpc-endpoints/</w:t>
      </w:r>
    </w:p>
    <w:p>
      <w:pPr>
        <w:pStyle w:val="ReferenceIEEE"/>
        <w:tabs>
          <w:tab w:pos="432" w:val="left"/>
        </w:tabs>
        <w:jc w:val="left"/>
      </w:pPr>
      <w:r>
        <w:t>[29]</w:t>
        <w:tab/>
      </w:r>
      <w:r>
        <w:rPr>
          <w:rFonts w:ascii="Times New Roman" w:hAnsi="Times New Roman" w:eastAsia="Times New Roman" w:cs="Times New Roman"/>
          <w:sz w:val="16"/>
        </w:rPr>
        <w:t>H. Krawczyk and P. Eronen, “HMAC-based extract-and-expand key derivation function (HKDF),” IETF, RFC 5869, May 2010.</w:t>
      </w:r>
    </w:p>
    <w:p>
      <w:pPr>
        <w:pStyle w:val="ReferenceIEEE"/>
        <w:tabs>
          <w:tab w:pos="432" w:val="left"/>
        </w:tabs>
        <w:jc w:val="left"/>
      </w:pPr>
      <w:r>
        <w:t>[30]</w:t>
        <w:tab/>
      </w:r>
      <w:r>
        <w:rPr>
          <w:rFonts w:ascii="Times New Roman" w:hAnsi="Times New Roman" w:eastAsia="Times New Roman" w:cs="Times New Roman"/>
          <w:sz w:val="16"/>
        </w:rPr>
        <w:t>M. Dworkin, “Recommendation for block cipher modes of operation: Galois/Counter Mode (GCM) and GMAC,” NIST, Gaithersburg, MD, USA, SP 800-38D, Nov. 2007.</w:t>
      </w:r>
    </w:p>
    <w:p>
      <w:pPr>
        <w:pStyle w:val="ReferenceIEEE"/>
        <w:tabs>
          <w:tab w:pos="432" w:val="left"/>
        </w:tabs>
        <w:jc w:val="left"/>
      </w:pPr>
      <w:r>
        <w:t>[31]</w:t>
        <w:tab/>
      </w:r>
      <w:r>
        <w:rPr>
          <w:rFonts w:ascii="Times New Roman" w:hAnsi="Times New Roman" w:eastAsia="Times New Roman" w:cs="Times New Roman"/>
          <w:sz w:val="16"/>
        </w:rPr>
        <w:t xml:space="preserve">Regulation (EU) 2016/679 of the European Parliament and of the Council (General Data Protection Regulation), art. 17, </w:t>
      </w:r>
      <w:r>
        <w:rPr>
          <w:rFonts w:ascii="Times New Roman" w:hAnsi="Times New Roman" w:eastAsia="Times New Roman" w:cs="Times New Roman"/>
          <w:i/>
          <w:sz w:val="16"/>
        </w:rPr>
        <w:t>Off. J. Eur. Union</w:t>
      </w:r>
      <w:r>
        <w:rPr>
          <w:rFonts w:ascii="Times New Roman" w:hAnsi="Times New Roman" w:eastAsia="Times New Roman" w:cs="Times New Roman"/>
          <w:sz w:val="16"/>
        </w:rPr>
        <w:t>, L 119, May 4, 2016.</w:t>
      </w:r>
    </w:p>
    <w:p>
      <w:pPr>
        <w:pStyle w:val="ReferenceIEEE"/>
        <w:tabs>
          <w:tab w:pos="432" w:val="left"/>
        </w:tabs>
        <w:jc w:val="left"/>
      </w:pPr>
      <w:r>
        <w:t>[32]</w:t>
        <w:tab/>
      </w:r>
      <w:r>
        <w:rPr>
          <w:rFonts w:ascii="Times New Roman" w:hAnsi="Times New Roman" w:eastAsia="Times New Roman" w:cs="Times New Roman"/>
          <w:sz w:val="16"/>
        </w:rPr>
        <w:t>Digital Personal Data Protection Act, 2023, s. 12, Govt. of India, 2023.</w:t>
      </w:r>
    </w:p>
    <w:p>
      <w:pPr>
        <w:pStyle w:val="ReferenceIEEE"/>
        <w:tabs>
          <w:tab w:pos="432" w:val="left"/>
        </w:tabs>
        <w:jc w:val="left"/>
      </w:pPr>
      <w:r>
        <w:t>[33]</w:t>
        <w:tab/>
      </w:r>
      <w:r>
        <w:rPr>
          <w:rFonts w:ascii="Times New Roman" w:hAnsi="Times New Roman" w:eastAsia="Times New Roman" w:cs="Times New Roman"/>
          <w:sz w:val="16"/>
        </w:rPr>
        <w:t>European Data Protection Board, “Guidelines 02/2025 on processing of personal data through blockchain technologies,” version for public consultation, Apr. 2025.</w:t>
      </w:r>
    </w:p>
    <w:sectPr w:rsidR="00FC693F" w:rsidRPr="0006063C" w:rsidSect="00034616">
      <w:type w:val="continuous"/>
      <w:pgSz w:w="12240" w:h="15840"/>
      <w:pgMar w:top="1080" w:right="900" w:bottom="1440" w:left="900" w:header="576"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r>
    <w:r>
      <w:rPr>
        <w:rFonts w:ascii="Times New Roman" w:hAnsi="Times New Roman"/>
        <w:sz w:val="16"/>
      </w:rPr>
      <w:instrText xml:space="preserve">PAGE</w:instrText>
    </w:r>
    <w:r>
      <w:rPr>
        <w:rFonts w:ascii="Times New Roman" w:hAnsi="Times New Roman"/>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b w:val="0"/>
      <w:i w:val="0"/>
      <w:smallCaps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center"/>
      <w:outlineLvl w:val="0"/>
    </w:pPr>
    <w:rPr>
      <w:rFonts w:ascii="Times New Roman" w:hAnsi="Times New Roman" w:eastAsia="Times New Roman" w:cs="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jc w:val="left"/>
      <w:outlineLvl w:val="1"/>
    </w:pPr>
    <w:rPr>
      <w:rFonts w:ascii="Times New Roman" w:hAnsi="Times New Roman" w:eastAsia="Times New Roman" w:cs="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imes New Roman" w:hAnsi="Times New Roman" w:eastAsia="Times New Roman" w:cs="Times New Roman"/>
      <w:b w:val="0"/>
      <w:i w:val="0"/>
      <w:smallCaps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Times New Roman" w:hAnsi="Times New Roman" w:eastAsia="Times New Roman" w:cs="Times New Roman"/>
      <w:b w:val="0"/>
      <w:bCs/>
      <w:i w:val="0"/>
      <w:smallCaps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IEEE">
    <w:name w:val="Body Text IEEE"/>
    <w:basedOn w:val="Normal"/>
    <w:pPr>
      <w:spacing w:before="0" w:after="0"/>
      <w:ind w:firstLine="288"/>
      <w:jc w:val="both"/>
    </w:pPr>
    <w:rPr>
      <w:rFonts w:ascii="Times New Roman" w:hAnsi="Times New Roman" w:eastAsia="Times New Roman" w:cs="Times New Roman"/>
      <w:b w:val="0"/>
      <w:i w:val="0"/>
      <w:smallCaps w:val="0"/>
      <w:color w:val="000000"/>
      <w:sz w:val="20"/>
    </w:rPr>
  </w:style>
  <w:style w:type="paragraph" w:customStyle="1" w:styleId="AbstractIEEE">
    <w:name w:val="Abstract IEEE"/>
    <w:basedOn w:val="Normal"/>
    <w:pPr>
      <w:spacing w:before="0" w:after="120"/>
      <w:jc w:val="both"/>
    </w:pPr>
    <w:rPr>
      <w:rFonts w:ascii="Times New Roman" w:hAnsi="Times New Roman" w:eastAsia="Times New Roman" w:cs="Times New Roman"/>
      <w:b/>
      <w:i w:val="0"/>
      <w:smallCaps w:val="0"/>
      <w:color w:val="000000"/>
      <w:sz w:val="18"/>
    </w:rPr>
  </w:style>
  <w:style w:type="paragraph" w:customStyle="1" w:styleId="ReferenceIEEE">
    <w:name w:val="Reference IEEE"/>
    <w:basedOn w:val="Normal"/>
    <w:pPr>
      <w:spacing w:before="0" w:after="40"/>
      <w:ind w:left="432" w:hanging="432"/>
      <w:jc w:val="both"/>
    </w:pPr>
    <w:rPr>
      <w:rFonts w:ascii="Times New Roman" w:hAnsi="Times New Roman" w:eastAsia="Times New Roman" w:cs="Times New Roman"/>
      <w:b w:val="0"/>
      <w:i w:val="0"/>
      <w:smallCaps w:val="0"/>
      <w:color w:val="000000"/>
      <w:sz w:val="16"/>
    </w:rPr>
  </w:style>
  <w:style w:type="paragraph" w:customStyle="1" w:styleId="TableTextIEEE">
    <w:name w:val="Table Text IEEE"/>
    <w:basedOn w:val="Normal"/>
    <w:pPr>
      <w:spacing w:before="0" w:after="0"/>
      <w:jc w:val="left"/>
    </w:pPr>
    <w:rPr>
      <w:rFonts w:ascii="Times New Roman" w:hAnsi="Times New Roman" w:eastAsia="Times New Roman" w:cs="Times New Roman"/>
      <w:b w:val="0"/>
      <w:i w:val="0"/>
      <w:smallCaps w:val="0"/>
      <w:color w:val="000000"/>
      <w:sz w:val="15"/>
    </w:rPr>
  </w:style>
  <w:style w:type="paragraph" w:customStyle="1" w:styleId="AuthorIEEE">
    <w:name w:val="Author IEEE"/>
    <w:basedOn w:val="Normal"/>
    <w:pPr>
      <w:spacing w:before="0" w:after="0"/>
      <w:jc w:val="center"/>
    </w:pPr>
    <w:rPr>
      <w:rFonts w:ascii="Times New Roman" w:hAnsi="Times New Roman" w:eastAsia="Times New Roman" w:cs="Times New Roman"/>
      <w:b w:val="0"/>
      <w:i w:val="0"/>
      <w:smallCaps w:val="0"/>
      <w:color w:val="000000"/>
      <w:sz w:val="20"/>
    </w:rPr>
  </w:style>
  <w:style w:type="paragraph" w:customStyle="1" w:styleId="EquationIEEE">
    <w:name w:val="Equation IEEE"/>
    <w:basedOn w:val="Normal"/>
    <w:pPr>
      <w:spacing w:before="60" w:after="60"/>
      <w:jc w:val="left"/>
    </w:pPr>
    <w:rPr>
      <w:rFonts w:ascii="Times New Roman" w:hAnsi="Times New Roman" w:eastAsia="Times New Roman" w:cs="Times New Roman"/>
      <w:b w:val="0"/>
      <w:i w:val="0"/>
      <w:smallCaps w:val="0"/>
      <w:color w:val="000000"/>
      <w:sz w:val="20"/>
    </w:rPr>
  </w:style>
  <w:style w:type="paragraph" w:customStyle="1" w:styleId="BulletIEEE">
    <w:name w:val="Bullet IEEE"/>
    <w:basedOn w:val="Normal"/>
    <w:pPr>
      <w:spacing w:before="0" w:after="20"/>
      <w:ind w:left="360" w:hanging="259"/>
      <w:jc w:val="both"/>
    </w:pPr>
    <w:rPr>
      <w:rFonts w:ascii="Times New Roman" w:hAnsi="Times New Roman" w:eastAsia="Times New Roman" w:cs="Times New Roman"/>
      <w:b w:val="0"/>
      <w:i w:val="0"/>
      <w:smallCaps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CareerVault: A Dual-Approval, Merkle-Anchored System for Verifiable Employment Credentials</dc:title>
  <dc:subject>Research paper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