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99"/>
          <w:sz w:val="32"/>
        </w:rPr>
        <w:t>TERMO DE REFERÊNCIA</w:t>
      </w:r>
    </w:p>
    <w:p/>
    <w:p>
      <w:pPr>
        <w:spacing w:after="120"/>
      </w:pPr>
      <w:r>
        <w:rPr>
          <w:b/>
          <w:sz w:val="24"/>
        </w:rPr>
        <w:t>1. CONDIÇÕES GERAIS DA CONTRATAÇÃO</w:t>
      </w:r>
    </w:p>
    <w:p>
      <w:pPr>
        <w:spacing w:after="120"/>
        <w:jc w:val="both"/>
      </w:pPr>
      <w:r>
        <w:rPr>
          <w:b/>
        </w:rPr>
        <w:t xml:space="preserve">1.1. Objeto: </w:t>
      </w:r>
      <w:r>
        <w:t>{objeto}</w:t>
      </w:r>
    </w:p>
    <w:p>
      <w:pPr>
        <w:spacing w:after="120"/>
      </w:pPr>
      <w:r>
        <w:rPr>
          <w:b/>
        </w:rPr>
        <w:t xml:space="preserve">1.2. Endereço: </w:t>
      </w:r>
      <w:r>
        <w:t>{endereco}</w:t>
      </w:r>
    </w:p>
    <w:p>
      <w:pPr>
        <w:spacing w:after="120"/>
      </w:pPr>
      <w:r>
        <w:rPr>
          <w:b/>
        </w:rPr>
        <w:t xml:space="preserve">1.3. Valor em Risco: </w:t>
      </w:r>
      <w:r>
        <w:t>R$ {valor-risco}</w:t>
      </w:r>
    </w:p>
    <w:p>
      <w:pPr>
        <w:spacing w:after="240"/>
      </w:pPr>
      <w:r>
        <w:rPr>
          <w:b/>
        </w:rPr>
        <w:t xml:space="preserve">1.4. Prazo de Vigência: </w:t>
      </w:r>
      <w:r>
        <w:t>{vigencia}</w:t>
      </w:r>
    </w:p>
    <w:p>
      <w:pPr>
        <w:spacing w:after="120"/>
      </w:pPr>
      <w:r>
        <w:rPr>
          <w:b/>
          <w:sz w:val="24"/>
        </w:rPr>
        <w:t>2. ESPECIFICAÇÕES TÉCNICAS</w:t>
      </w:r>
    </w:p>
    <w:p>
      <w:pPr>
        <w:spacing w:after="80"/>
      </w:pPr>
      <w:r>
        <w:rPr>
          <w:b/>
        </w:rPr>
        <w:t>2.1. Coberturas:</w:t>
      </w:r>
    </w:p>
    <w:p>
      <w:pPr>
        <w:spacing w:after="160"/>
        <w:jc w:val="both"/>
      </w:pPr>
      <w:r>
        <w:t>{coberturas}</w:t>
      </w:r>
    </w:p>
    <w:p>
      <w:pPr>
        <w:spacing w:after="80"/>
      </w:pPr>
      <w:r>
        <w:rPr>
          <w:b/>
        </w:rPr>
        <w:t>2.2. Requisitos Específicos:</w:t>
      </w:r>
    </w:p>
    <w:p>
      <w:pPr>
        <w:spacing w:after="160"/>
        <w:jc w:val="both"/>
      </w:pPr>
      <w:r>
        <w:t>{requisitos}</w:t>
      </w:r>
    </w:p>
    <w:p>
      <w:pPr>
        <w:spacing w:after="80"/>
      </w:pPr>
      <w:r>
        <w:rPr>
          <w:b/>
        </w:rPr>
        <w:t>2.3. Critérios de Aceitação:</w:t>
      </w:r>
    </w:p>
    <w:p>
      <w:pPr>
        <w:jc w:val="both"/>
      </w:pPr>
      <w:r>
        <w:t>{criterios}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>Rua Major José Inácio, 2154 - São Carlos/SP | www.fesc.com.br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003399"/>
        <w:sz w:val="28"/>
      </w:rPr>
      <w:t>FUNDAÇÃO EDUCACIONAL SÃO CARLOS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