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i w:val="1"/>
          <w:iCs w:val="1"/>
          <w:sz w:val="22"/>
          <w:szCs w:val="22"/>
        </w:rPr>
      </w:pPr>
      <w:bookmarkStart w:colFirst="0" w:colLast="0" w:name="_heading=h.7qszopj5jxro" w:id="0"/>
      <w:bookmarkEnd w:id="0"/>
      <w:r w:rsidDel="00000000" w:rsidR="00000000" w:rsidRPr="00000000">
        <w:rPr>
          <w:rFonts w:ascii="Arial" w:cs="Arial" w:eastAsia="Arial" w:hAnsi="Arial"/>
          <w:b w:val="1"/>
          <w:bCs w:val="1"/>
          <w:i w:val="1"/>
          <w:iCs w:val="1"/>
          <w:sz w:val="22"/>
          <w:szCs w:val="22"/>
          <w:rtl w:val="0"/>
        </w:rPr>
        <w:t xml:space="preserve">FUNDAÇÃO EDUCACIONAL SÃO CARLOS</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CONDIÇÕES GERAIS DA CONTRATAÇÃO:</w:t>
        <w:br w:type="textWrapping"/>
      </w: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2"/>
          <w:szCs w:val="22"/>
        </w:rPr>
      </w:pPr>
      <w:r w:rsidDel="00000000" w:rsidR="00000000" w:rsidRPr="00000000">
        <w:rPr>
          <w:rFonts w:ascii="Arial" w:cs="Arial" w:eastAsia="Arial" w:hAnsi="Arial"/>
          <w:b w:val="1"/>
          <w:bCs w:val="1"/>
          <w:rtl w:val="0"/>
        </w:rPr>
        <w:t xml:space="preserve">1.1</w:t>
      </w:r>
      <w:r w:rsidDel="00000000" w:rsidR="00000000" w:rsidRPr="00000000">
        <w:rPr>
          <w:rFonts w:ascii="Arial" w:cs="Arial" w:eastAsia="Arial" w:hAnsi="Arial"/>
          <w:rtl w:val="0"/>
        </w:rPr>
        <w:t xml:space="preserve">. </w:t>
      </w:r>
      <w:r w:rsidDel="00000000" w:rsidR="00000000" w:rsidRPr="00000000">
        <w:rPr>
          <w:rtl w:val="0"/>
        </w:rPr>
        <w:t xml:space="preserve">{resumo_contratacao}</w:t>
      </w: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8"/>
        <w:gridCol w:w="5651"/>
        <w:gridCol w:w="709"/>
        <w:gridCol w:w="992"/>
        <w:gridCol w:w="1241"/>
        <w:tblGridChange w:id="0">
          <w:tblGrid>
            <w:gridCol w:w="758"/>
            <w:gridCol w:w="5651"/>
            <w:gridCol w:w="709"/>
            <w:gridCol w:w="992"/>
            <w:gridCol w:w="1241"/>
          </w:tblGrid>
        </w:tblGridChange>
      </w:tblGrid>
      <w:tr>
        <w:trPr>
          <w:cantSplit w:val="0"/>
          <w:trHeight w:val="563" w:hRule="atLeast"/>
          <w:tblHeader w:val="0"/>
        </w:trPr>
        <w:tc>
          <w:tcPr/>
          <w:p w:rsidR="00000000" w:rsidDel="00000000" w:rsidP="00000000" w:rsidRDefault="00000000" w:rsidRPr="00000000" w14:paraId="00000004">
            <w:pPr>
              <w:widowControl w:val="0"/>
              <w:spacing w:after="288" w:before="120" w:line="312"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ITEM</w:t>
            </w:r>
          </w:p>
        </w:tc>
        <w:tc>
          <w:tcPr/>
          <w:p w:rsidR="00000000" w:rsidDel="00000000" w:rsidP="00000000" w:rsidRDefault="00000000" w:rsidRPr="00000000" w14:paraId="00000005">
            <w:pPr>
              <w:widowControl w:val="0"/>
              <w:spacing w:after="288" w:before="120" w:line="312"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ESPECIFICAÇÃO</w:t>
            </w:r>
            <w:r w:rsidDel="00000000" w:rsidR="00000000" w:rsidRPr="00000000">
              <w:rPr>
                <w:rtl w:val="0"/>
              </w:rPr>
            </w:r>
          </w:p>
        </w:tc>
        <w:tc>
          <w:tcPr/>
          <w:p w:rsidR="00000000" w:rsidDel="00000000" w:rsidP="00000000" w:rsidRDefault="00000000" w:rsidRPr="00000000" w14:paraId="00000006">
            <w:pPr>
              <w:widowControl w:val="0"/>
              <w:spacing w:after="288" w:before="120" w:line="312" w:lineRule="auto"/>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UN</w:t>
            </w:r>
            <w:r w:rsidDel="00000000" w:rsidR="00000000" w:rsidRPr="00000000">
              <w:rPr>
                <w:rtl w:val="0"/>
              </w:rPr>
            </w:r>
          </w:p>
        </w:tc>
        <w:tc>
          <w:tcPr/>
          <w:p w:rsidR="00000000" w:rsidDel="00000000" w:rsidP="00000000" w:rsidRDefault="00000000" w:rsidRPr="00000000" w14:paraId="00000007">
            <w:pPr>
              <w:widowControl w:val="0"/>
              <w:spacing w:after="288" w:before="120" w:line="312"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QUANT.</w:t>
            </w:r>
          </w:p>
        </w:tc>
        <w:tc>
          <w:tcPr/>
          <w:p w:rsidR="00000000" w:rsidDel="00000000" w:rsidP="00000000" w:rsidRDefault="00000000" w:rsidRPr="00000000" w14:paraId="00000008">
            <w:pPr>
              <w:widowControl w:val="0"/>
              <w:spacing w:after="288" w:before="120" w:line="312"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w:t>
            </w:r>
          </w:p>
        </w:tc>
      </w:tr>
      <w:tr>
        <w:trPr>
          <w:cantSplit w:val="0"/>
          <w:trHeight w:val="1876" w:hRule="atLeast"/>
          <w:tblHeader w:val="0"/>
        </w:trPr>
        <w:tc>
          <w:tcPr/>
          <w:p w:rsidR="00000000" w:rsidDel="00000000" w:rsidP="00000000" w:rsidRDefault="00000000" w:rsidRPr="00000000" w14:paraId="00000009">
            <w:pPr>
              <w:widowControl w:val="0"/>
              <w:spacing w:after="288" w:before="120" w:line="312"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01</w:t>
            </w:r>
          </w:p>
        </w:tc>
        <w:tc>
          <w:tcPr/>
          <w:p w:rsidR="00000000" w:rsidDel="00000000" w:rsidP="00000000" w:rsidRDefault="00000000" w:rsidRPr="00000000" w14:paraId="0000000A">
            <w:pPr>
              <w:widowControl w:val="0"/>
              <w:spacing w:after="288" w:before="120" w:line="312" w:lineRule="auto"/>
              <w:jc w:val="both"/>
              <w:rPr>
                <w:rFonts w:ascii="Arial" w:cs="Arial" w:eastAsia="Arial" w:hAnsi="Arial"/>
                <w:color w:val="000000"/>
                <w:sz w:val="20"/>
                <w:szCs w:val="20"/>
              </w:rPr>
            </w:pPr>
            <w:r w:rsidDel="00000000" w:rsidR="00000000" w:rsidRPr="00000000">
              <w:rPr>
                <w:rFonts w:ascii="Calibri" w:cs="Calibri" w:eastAsia="Calibri" w:hAnsi="Calibri"/>
                <w:rtl w:val="0"/>
              </w:rPr>
              <w:t xml:space="preserve">{especificacao}</w:t>
            </w:r>
            <w:r w:rsidDel="00000000" w:rsidR="00000000" w:rsidRPr="00000000">
              <w:rPr>
                <w:rtl w:val="0"/>
              </w:rPr>
            </w:r>
          </w:p>
        </w:tc>
        <w:tc>
          <w:tcPr/>
          <w:p w:rsidR="00000000" w:rsidDel="00000000" w:rsidP="00000000" w:rsidRDefault="00000000" w:rsidRPr="00000000" w14:paraId="0000000B">
            <w:pPr>
              <w:widowControl w:val="0"/>
              <w:spacing w:after="288" w:before="120" w:line="312"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{unidade}</w:t>
            </w:r>
          </w:p>
        </w:tc>
        <w:tc>
          <w:tcPr/>
          <w:p w:rsidR="00000000" w:rsidDel="00000000" w:rsidP="00000000" w:rsidRDefault="00000000" w:rsidRPr="00000000" w14:paraId="0000000C">
            <w:pPr>
              <w:widowControl w:val="0"/>
              <w:spacing w:after="288" w:before="120" w:line="312"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{quantidade}</w:t>
            </w:r>
          </w:p>
        </w:tc>
        <w:tc>
          <w:tcPr/>
          <w:p w:rsidR="00000000" w:rsidDel="00000000" w:rsidP="00000000" w:rsidRDefault="00000000" w:rsidRPr="00000000" w14:paraId="0000000D">
            <w:pPr>
              <w:widowControl w:val="0"/>
              <w:spacing w:after="288" w:before="120" w:line="312"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{total}</w:t>
            </w:r>
          </w:p>
        </w:tc>
      </w:tr>
    </w:tbl>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objeto desta compra não se enquadra como sendo de bem de luxo, conforme Decreto nº 10.818, de 27 de setembro de 2021.</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prazo de vigência da compra é de {vigencia} contados da emissão da nota empenho/contrato na forma do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1"/>
          <w:iCs w:val="1"/>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artigo 105 da Lei n° 14.133, de 2021. </w:t>
      </w:r>
      <w:r w:rsidDel="00000000" w:rsidR="00000000" w:rsidRPr="00000000">
        <w:rPr>
          <w:rtl w:val="0"/>
        </w:rPr>
      </w:r>
    </w:p>
    <w:p w:rsidR="00000000" w:rsidDel="00000000" w:rsidP="00000000" w:rsidRDefault="00000000" w:rsidRPr="00000000" w14:paraId="00000011">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FUNDAMENTAÇÃO E NECESSIDADE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tab/>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A presente demanda fundamenta-se na necessidade de substituição imediata da entrada de água da piscina da FESC. Os componentes atuais sofreram rompimento em decorrência da fadiga do material por uso contínuo, o que exige a troca urgente para evitar o desperdício de água e garantir o funcionamento da infraestrutura hídrica e pedagógica da FESC.</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Fundamentação da Contratação e de seus quantitativos encontra-se pormenorizada em Tópico na tabela inicial deste documento.</w:t>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REQUISITOS DA CONTRATAÇÃO</w:t>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Indicação de marcas ou modelos:</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ff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presente contratação será admitida a indicação da (s) seguinte (s) marca (s), característica (s) ou modelo (s), de acordo com as justificativas contidas nos Estudos Técnicos Preliminares: </w:t>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 exigência de carta de solidariedade</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caso de fornecedor revendedor ou distribuidor, será exigida carta de solidariedade emitida pelo fabricante, que assegure a execução do contrato.</w:t>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Subcontratação</w:t>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é admitida a subcontratação do objeto contratual.</w:t>
      </w:r>
    </w:p>
    <w:p w:rsidR="00000000" w:rsidDel="00000000" w:rsidP="00000000" w:rsidRDefault="00000000" w:rsidRPr="00000000" w14:paraId="0000001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36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MODELO DE EXECUÇÃO</w:t>
        <w:br w:type="textWrapping"/>
        <w:br w:type="textWrapping"/>
        <w:t xml:space="preserve">Os serviços serão prestados em locais designados pela Fundação Educacional de São Carlos, em regime de carga horária semanal previamente definida, com acompanhamento e fiscalização por servidor designado.</w:t>
      </w:r>
      <w:r w:rsidDel="00000000" w:rsidR="00000000" w:rsidRPr="00000000">
        <w:rPr>
          <w:rtl w:val="0"/>
        </w:rPr>
      </w:r>
    </w:p>
    <w:p w:rsidR="00000000" w:rsidDel="00000000" w:rsidP="00000000" w:rsidRDefault="00000000" w:rsidRPr="00000000" w14:paraId="0000001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Condições de Entrega</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prazo de entrega dos bens é imediato, contados da emissão da nota empenho/ordem de fornecimento, em remessa única. </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não seja possível a entrega na data assinalada, a empresa deverá comunicar as razões respectivas com pelo menos (03) dias de antecedência para que qualquer pleito de prorrogação de prazo seja analisado, ressalvadas situações de caso fortuito e força maior.</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bens/serviços deverão ser entregues no seguinte endereço: {endereço}</w:t>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Garantia, manutenção e assistência técnica</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prazo de garantia é aquele estabelecido na Lei nº 8.078, de 11 de setembro de 1990 (Código de Defesa do Consumidor)</w:t>
      </w:r>
    </w:p>
    <w:p w:rsidR="00000000" w:rsidDel="00000000" w:rsidP="00000000" w:rsidRDefault="00000000" w:rsidRPr="00000000" w14:paraId="00000022">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CRITÉRIOS DE PAGAMENTO</w:t>
        <w:br w:type="textWrapping"/>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w:t>
        <w:tab/>
        <w:t xml:space="preserve">O pagamento será efetuado após a entrega e aceitação definitiva dos equipamentos, mediante apresentação de nota fiscal regular, após conferência e aceite pelo gestor do contrato.</w:t>
      </w:r>
    </w:p>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5.2 {criterios}</w:t>
      </w: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Recebimento</w:t>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bens  serão recebidos provisoriamente, de forma sumária, no ato da entrega, juntamente com a nota fiscal ou instrumento de cobrança equivalente, pelo (a) responsável pelo acompanhamento e fiscalização do contrato, para efeito de posterior verificação de sua conformidade com as especificações constantes no Termo de Referência e na proposta.</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bens poderão ser rejeitados, no todo ou em parte, inclusive antes do recebimento provisório, quando em desacordo com as especificações constantes no Termo de Referência e na proposta, devendo ser substituídos no prazo de 10 (dez) dias, a contar da notificação da contratada, às suas custas, sem prejuízo da aplicação das penalidades.</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recebimento definitivo ocorrerá no prazo de 11 dias úteis, a contar do recebimento da nota fiscal ou instrumento de cobrança equivalente pela Administração, após a verificação da qualidade e quantidade do material e consequente aceitação mediante termo detalhado.</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as contratações decorrentes de despesas cujos valores não ultrapassem o limite de que trata o </w:t>
      </w:r>
      <w:hyperlink r:id="rId7">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inciso II do art. 75 da Lei nº 14.133, de 2021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 prazo máximo para o recebimento definitivo será de até 11 dias úteis.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prazo para recebimento definitivo poderá ser excepcionalmente prorrogado, de forma justificada, por igual período, quando houver necessidade de diligências para a aferição do atendimento das exigências contratuais.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caso de controvérsia sobre a execução do objeto, quanto à dimensão, qualidade e quantidade, deverá ser observado o teor do </w:t>
      </w:r>
      <w:hyperlink r:id="rId8">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art. 143 da Lei nº 14.133, de 2021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comunicando-se à empresa para emissão de Nota Fiscal no que pertine à parcela incontroversa da execução do objeto, para efeito de liquidação e pagamento.</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prazo para a solução, pelo contratado, de inconsistências na execução do objeto ou de saneamento da nota fiscal ou de instrumento de cobrança equivalente, verificadas pela Administração durante a análise prévia à liquidação de despesa, não será computado para os fins do recebimento definitivo.</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recebimento provisório ou definitivo não excluirá a responsabilidade civil pela solidez e pela segurança dos bens nem a responsabilidade ético-profissional pela perfeita execução do contrato.</w:t>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Liquidação</w:t>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Recebida a Nota Fiscal ou documento de cobrança equivalente, correrá o prazo de dez dias úteis para fins de liquidação, na forma desta seção, prorrogáveis por igual período, nos termos do art. 7º, §3</w:t>
      </w:r>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º da Instrução Normativa SEGES/ME nº 77/2022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prazo de que trata o item anterior será reduzido à metade, mantendo-se a possibilidade de prorrogação, no caso de contratações decorrentes de despesas cujos valores não ultrapassem o limite de que trata o </w:t>
      </w:r>
      <w:hyperlink r:id="rId9">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inciso II do art. 75 da Lei nº 14.133, de 2021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fins de liquidação, o setor competente deverá verificar se a nota fiscal ou instrumento de cobrança equivalente apresentado expressa os elementos necessários e essenciais do documento, tais como: </w:t>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prazo de validade;</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data da emissão; </w:t>
      </w:r>
    </w:p>
    <w:p w:rsidR="00000000" w:rsidDel="00000000" w:rsidP="00000000" w:rsidRDefault="00000000" w:rsidRPr="00000000" w14:paraId="000000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dados do contrato e do órgão contratante; </w:t>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período respectivo de execução do contrato; </w:t>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valor a pagar; e </w:t>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Eventual destaque do valor de retenções tributárias cabíveis.</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Havendo erro na apresentação da nota fiscal ou instrumento de cobrança equivalente, ou circunstância que impeça a liquidação da despesa, esta ficará sobrestada até que o contratado providencie as medidas saneadoras, reiniciando-se o prazo após a comprovação da regularização da situação, sem ônus ao contratante;</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nota fiscal ou instrumento de cobrança equivalente deverá ser obrigatoriamente acompanhado da comprovação da regularidade fiscal, constatada por meio de consulta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on-line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ao SICAF ou, na impossibilidade de acesso ao referido Sistema, mediante consulta aos sítios eletrônicos oficiais ou à documentação mencionada no </w:t>
      </w:r>
      <w:hyperlink r:id="rId10">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art. 68 da Lei nº 14.133, de 2021.  </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Administração deverá realizar consulta ao SICAF para: a) verificar a manutenção das condições de habilitação exigidas; b) identificar possível razão que impeça a contratação no âmbito do órgão ou entidade, tais como a proibição de contratar com a Administração ou com o Poder Público, bem como ocorrências impeditivas indiretas (INSTRUÇÃO NORMATIVA Nº 3, DE 26 DE ABRIL DE 2018).</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Constatando-se, junto ao SICAF, a situação de irregularidade do contratado, será providenciada sua notificação, por escrito, para que, no prazo de 5 (cinco) dias úteis, regularize sua situação ou, no mesmo prazo, apresente sua defesa. O prazo poderá ser prorrogado uma vez, por igual período, a critério do contratante.</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havendo regularização ou sendo a defesa considerada improcedente, o contratante deverá comunicar aos órgãos responsáveis pela fiscalização da regularidade fiscal quanto à inadimplência do contratado, bem como quanto à existência de pagamento a ser efetuado, para que sejam acionados os meios pertinentes e necessários para garantir o recebimento de seus créditos.  </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Persistindo a irregularidade, o contratante deverá adotar as medidas necessárias à rescisão contratual nos autos do processo administrativo correspondente, assegurada ao contratado a ampla defesa. </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Havendo a efetiva execução do objeto, os pagamentos serão realizados normalmente, até que se decida pela rescisão do contrato, caso o contratado não regularize sua situação junto ao SICAF.  </w: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Prazo de pagamento</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pagamento será efetuado no prazo de até 28 (vinte e oito) dias úteis contados a partir da emissão da nota fiscal pelo contratado.</w:t>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 de pagamento</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pagamento será realizado por meio de ordem bancária, para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crédito em banco, agência e conta corrente indicados pelo contratado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Será considerada data do pagamento o dia em que constar como emitida a ordem bancária para pagamento.</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do pagamento, será efetuada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retenção tributária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prevista na legislação aplicável.</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Independentemente do percentual de tributo inserido na planilha, quando houver, serão retidos na fonte, quando da realização do pagamento, os percentuais estabelecidos na legislação vigente.</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contratado regularmente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optante pelo Simples Nacional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nos termos da </w:t>
      </w:r>
      <w:hyperlink r:id="rId11">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Lei Complementar nº 123, de 2006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não sofrerá a retenção tributária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quanto aos impostos e contribuições abrangidos por aquele regime. No entanto, o pagamento ficará condicionado à apresentação de comprovação, por meio de documento oficial, de que faz jus ao tratamento tributário favorecido previsto na referida Lei Complementar.</w:t>
      </w:r>
    </w:p>
    <w:p w:rsidR="00000000" w:rsidDel="00000000" w:rsidP="00000000" w:rsidRDefault="00000000" w:rsidRPr="00000000" w14:paraId="00000046">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FORMA DE SELEÇÃO DO FORNECEDOR</w:t>
        <w:br w:type="textWrapping"/>
        <w:br w:type="textWrapping"/>
        <w:t xml:space="preserve">O fornecedor será selecionado por meio de procedimento de dispensa de licitação, na forma eletrônica, conforme art. 75, inciso II, da Lei nº 14.133/2021, com critério de menor preço global.</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fornecedor será selecionado por meio da realização de procedimento de dispensa de licitação, na forma eletrônica, com fundamento na hipótese do art. 75, inciso II da Lei n. º 14.133/2021, que culminará com a seleção da proposta de MENOR PREÇO GLOBAL.</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 de fornecimento</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O fornecimento do objeto será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imediato.</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Exigências de habilitação</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dever do interessado manter atualizada a respectiva documentação constante do SICAF, e encaminhar, quando solicitado pela Administração, a respectiva documentação atualizada.</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serão aceitos documentos de habilitação com indicação de CNPJ/CPF diferentes, salvo aqueles legalmente permitidos.</w:t>
      </w:r>
    </w:p>
    <w:p w:rsidR="00000000" w:rsidDel="00000000" w:rsidP="00000000" w:rsidRDefault="00000000" w:rsidRPr="00000000" w14:paraId="000000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o interessado for a matriz, todos os documentos deverão estar em nome da matriz, e se o fornecedor for a filial, todos os documentos deverão estar em nome da filial, exceto para atestados de capacidade técnica, caso exigidos, e no caso daqueles documentos que, pela própria natureza, comprovadamente, forem emitidos somente em nome da matriz.</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Serão aceitos registros de CNPJ de fornecedor matriz e filial com diferenças de números de documentos pertinentes ao CND e ao CRF/FGTS, quando for comprovada a centralização do recolhimento dessas contribuições.</w:t>
      </w:r>
    </w:p>
    <w:p w:rsidR="00000000" w:rsidDel="00000000" w:rsidP="00000000" w:rsidRDefault="00000000" w:rsidRPr="00000000" w14:paraId="000000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fins de habilitação, deverá o interessado comprovar os seguintes requisitos, que serão exigidos conforme sua natureza jurídica:</w:t>
      </w:r>
    </w:p>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Habilitação jurídica</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2a1zj2lh8d8b" w:id="1"/>
      <w:bookmarkEnd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Pessoa física: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cédula de identidade (RG) ou documento equivalente que, por força de lei, tenha validade para fins de identificação em todo o território nacional;</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Empresário individual: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inscrição no Registro Público de Empresas Mercantis, a cargo da Junta Comercial da respectiva sede; </w:t>
      </w:r>
    </w:p>
    <w:p w:rsidR="00000000" w:rsidDel="00000000" w:rsidP="00000000" w:rsidRDefault="00000000" w:rsidRPr="00000000" w14:paraId="0000005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Microempreendedor Individual - MEI: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Certificado da Condição de Microempreendedor Individual - CCMEI, cuja aceitação ficará condicionada à verificação da autenticidade no sítio </w:t>
      </w:r>
      <w:hyperlink r:id="rId12">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https://www.gov.br/empresas-e-negocios/pt-br/empreendedor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rsidR="00000000" w:rsidDel="00000000" w:rsidP="00000000" w:rsidRDefault="00000000" w:rsidRPr="00000000" w14:paraId="000000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Sociedade empresária estrangeira: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w:t>
      </w:r>
      <w:hyperlink r:id="rId13">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Normativa DREI/ME n.º 77, de 18 de março de 2020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Sociedade simples: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inscrição do ato constitutivo no Registro Civil de Pessoas Jurídicas do local de sua sede, acompanhada de documento comprobatório de seus administradores;</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cglvh59d9b3b"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Filial, sucursal ou agência de sociedade simples ou empresária: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Sociedade cooperativa: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ata de fundação e estatuto social, com a ata da assembleia que o aprovou, devidamente arquivado na Junta Comercial ou inscrito no Registro Civil das Pessoas Jurídicas da respectiva sede, além do registro de que trata o </w:t>
      </w:r>
      <w:hyperlink r:id="rId14">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art. 107 da Lei nº 5.764, de 16 de dezembro 1971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Agricultor familiar: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Declaração de Aptidão ao Pronaf – DAP ou DAP-P válida, ou, ainda, outros documentos definidos pela Secretaria Especial de Agricultura Familiar e do Desenvolvimento Agrário, nos termos do</w:t>
      </w:r>
      <w:hyperlink r:id="rId15">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 art. 4º, §2º do Decreto nº 10.880, de 2 de dezembro de 2021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Produtor Rural: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matrícula no Cadastro Específico do INSS – CEI, que comprove a qualificação como produtor rural pessoa física, nos termos da </w:t>
      </w:r>
      <w:hyperlink r:id="rId16">
        <w:r w:rsidDel="00000000" w:rsidR="00000000" w:rsidRPr="00000000">
          <w:rPr>
            <w:rFonts w:ascii="Arial" w:cs="Arial" w:eastAsia="Arial" w:hAnsi="Arial"/>
            <w:b w:val="0"/>
            <w:bCs w:val="0"/>
            <w:i w:val="0"/>
            <w:iCs w:val="0"/>
            <w:smallCaps w:val="0"/>
            <w:strike w:val="0"/>
            <w:color w:val="000080"/>
            <w:sz w:val="22"/>
            <w:szCs w:val="22"/>
            <w:u w:val="single"/>
            <w:shd w:fill="auto" w:val="clear"/>
            <w:vertAlign w:val="baseline"/>
            <w:rtl w:val="0"/>
          </w:rPr>
          <w:t xml:space="preserve">Instrução Normativa RFB n. 971, de 13 de novembro de 2009</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(arts. 17 a 19 e 165).</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documentos apresentados deverão estar acompanhados de todas as alterações ou da consolidação respectiva.</w:t>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Habilitação fiscal, social e trabalhista</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Prova de inscrição no Cadastro Nacional de Pessoas Jurídicas ou no Cadastro de Pessoas Físicas, conforme o caso;</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Prova de regularidade com o Fundo de Garantia do Tempo de Serviço (FGTS);</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rsidR="00000000" w:rsidDel="00000000" w:rsidP="00000000" w:rsidRDefault="00000000" w:rsidRPr="00000000" w14:paraId="0000006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Prova de inscrição no cadastro de contribuintes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[Estadual/Distrital]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[Municipal/Distrital]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relativo ao domicílio ou sede do fornecedor, pertinente ao seu ramo de atividade e compatível com o objeto contratual; </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o fornecedor seja considerado isento dos tributos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[Estadual/Distrital] ou [Municipal/Distrital]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relacionados ao objeto contratual, deverá comprovar tal condição mediante a apresentação de declaração da Fazenda respectiva do seu domicílio ou sede, ou outra equivalente, na forma da lei.</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fornecedor enquadrado como microempreendedor individual que pretenda auferir os benefícios do tratamento diferenciado previstos na Lei Complementar n. 123, de 2006, estará dispensado da prova de inscrição nos cadastros de contribuintes estadual e municipal.</w:t>
      </w:r>
    </w:p>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Qualificação Técnica</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Declaração de que o interessado tomou conhecimento de todas as informações e das condições locais para o cumprimento das obrigações objeto da contratação; </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declaração acima poderá ser substituída por declaração formal assinada pelo responsável técnico do interessado acerca do conhecimento pleno das condições e peculiaridades da contratação.</w:t>
      </w:r>
    </w:p>
    <w:p w:rsidR="00000000" w:rsidDel="00000000" w:rsidP="00000000" w:rsidRDefault="00000000" w:rsidRPr="00000000" w14:paraId="000000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Será admitida, para fins de comprovação de quantitativo mínimo, a apresentação e o somatório de diferentes atestados executados de forma concomitante.</w:t>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atestados de capacidade técnica poderão ser apresentados em nome da matriz ou da filial do fornecedor.</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284" w:right="0" w:firstLine="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120" w:line="276" w:lineRule="auto"/>
        <w:ind w:left="1781" w:right="0" w:hanging="504.00000000000006"/>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fornecedor disponibilizará todas as informações necessárias à comprovação da legitimidade dos atestados, apresentando, quando solicitado pela Administração, cópia do contrato que deu suporte à contratação, endereço atual da contratante e local em que foi executado o objeto contratado, dentre outros documentos.</w:t>
      </w:r>
    </w:p>
    <w:p w:rsidR="00000000" w:rsidDel="00000000" w:rsidP="00000000" w:rsidRDefault="00000000" w:rsidRPr="00000000" w14:paraId="0000006B">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360"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ESTIMATIVA DO VALOR DA CONTRATAÇÃO</w:t>
        <w:br w:type="textWrapping"/>
        <w:br w:type="textWrapping"/>
        <w:t xml:space="preserve">A ser definida com base em pesquisa de mercado e publicizada no PNCP.</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custo estimado da contratação possui caráter público, sendo publicado no Portal Nacional de Contratações Públicas (PNCP) e/ou Diário Oficial do Município e/ou Site Oficial da Fundação Educacional São Carlos – FESC.</w:t>
      </w:r>
    </w:p>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120" w:before="240" w:line="276"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ADEQUAÇÃO ORÇAMENTÁRIA</w:t>
        <w:br w:type="textWrapping"/>
        <w:br w:type="textWrapping"/>
        <w:t xml:space="preserve">A dotação orçamentária será indicada pela área competente no momento da contratação.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999"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dotação relativa aos exercícios financeiros subsequentes será indicada após aprovação da Lei Orçamentária respectiva e liberação dos créditos correspondentes, mediante apostilamento.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jc w:val="center"/>
        <w:rPr>
          <w:rFonts w:ascii="Arial" w:cs="Arial" w:eastAsia="Arial" w:hAnsi="Arial"/>
          <w:color w:val="000000"/>
          <w:sz w:val="22"/>
          <w:szCs w:val="22"/>
          <w:highlight w:val="yellow"/>
        </w:rPr>
      </w:pP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079">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7A">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7B">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7C">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7D">
      <w:pPr>
        <w:jc w:val="center"/>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_________________________</w:t>
      </w:r>
    </w:p>
    <w:p w:rsidR="00000000" w:rsidDel="00000000" w:rsidP="00000000" w:rsidRDefault="00000000" w:rsidRPr="00000000" w14:paraId="0000007E">
      <w:pPr>
        <w:jc w:val="center"/>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{agente}</w:t>
      </w:r>
    </w:p>
    <w:p w:rsidR="00000000" w:rsidDel="00000000" w:rsidP="00000000" w:rsidRDefault="00000000" w:rsidRPr="00000000" w14:paraId="0000007F">
      <w:pPr>
        <w:jc w:val="center"/>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{cargo}</w:t>
      </w:r>
    </w:p>
    <w:p w:rsidR="00000000" w:rsidDel="00000000" w:rsidP="00000000" w:rsidRDefault="00000000" w:rsidRPr="00000000" w14:paraId="00000080">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81">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82">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83">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84">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85">
      <w:pPr>
        <w:jc w:val="center"/>
        <w:rPr>
          <w:rFonts w:ascii="Arial" w:cs="Arial" w:eastAsia="Arial" w:hAnsi="Arial"/>
          <w:color w:val="000000"/>
          <w:sz w:val="22"/>
          <w:szCs w:val="22"/>
          <w:highlight w:val="yellow"/>
        </w:rPr>
      </w:pPr>
      <w:r w:rsidDel="00000000" w:rsidR="00000000" w:rsidRPr="00000000">
        <w:rPr>
          <w:rtl w:val="0"/>
        </w:rPr>
      </w:r>
    </w:p>
    <w:p w:rsidR="00000000" w:rsidDel="00000000" w:rsidP="00000000" w:rsidRDefault="00000000" w:rsidRPr="00000000" w14:paraId="00000086">
      <w:pPr>
        <w:jc w:val="center"/>
        <w:rPr>
          <w:rFonts w:ascii="Comic Sans MS" w:cs="Comic Sans MS" w:eastAsia="Comic Sans MS" w:hAnsi="Comic Sans MS"/>
          <w:color w:val="000000"/>
          <w:sz w:val="22"/>
          <w:szCs w:val="22"/>
        </w:rPr>
      </w:pPr>
      <w:r w:rsidDel="00000000" w:rsidR="00000000" w:rsidRPr="00000000">
        <w:rPr>
          <w:rtl w:val="0"/>
        </w:rPr>
      </w:r>
    </w:p>
    <w:sectPr>
      <w:headerReference r:id="rId17" w:type="default"/>
      <w:footerReference r:id="rId18" w:type="default"/>
      <w:pgSz w:h="16838" w:w="11906" w:orient="portrait"/>
      <w:pgMar w:bottom="1418" w:top="1418" w:left="1134" w:right="1134" w:header="709" w:footer="44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mic Sans MS"/>
  <w:font w:name="Ecofont_Spranq_eco_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Ecofont_Spranq_eco_Sans" w:cs="Ecofont_Spranq_eco_Sans" w:eastAsia="Ecofont_Spranq_eco_Sans" w:hAnsi="Ecofont_Spranq_eco_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Ecofont_Spranq_eco_Sans" w:cs="Ecofont_Spranq_eco_Sans" w:eastAsia="Ecofont_Spranq_eco_Sans" w:hAnsi="Ecofont_Spranq_eco_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Ecofont_Spranq_eco_Sans" w:cs="Ecofont_Spranq_eco_Sans" w:eastAsia="Ecofont_Spranq_eco_Sans" w:hAnsi="Ecofont_Spranq_eco_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decimal"/>
      <w:lvlText w:val="%1.%2."/>
      <w:lvlJc w:val="left"/>
      <w:pPr>
        <w:ind w:left="999" w:hanging="432"/>
      </w:pPr>
      <w:rPr>
        <w:b w:val="0"/>
        <w:bCs w:val="0"/>
        <w:i w:val="0"/>
        <w:iCs w:val="0"/>
        <w:strike w:val="0"/>
        <w:color w:val="000000"/>
        <w:sz w:val="20"/>
        <w:szCs w:val="20"/>
        <w:u w:val="none"/>
      </w:rPr>
    </w:lvl>
    <w:lvl w:ilvl="2">
      <w:start w:val="1"/>
      <w:numFmt w:val="decimal"/>
      <w:lvlText w:val="%1.%2.%3."/>
      <w:lvlJc w:val="left"/>
      <w:pPr>
        <w:ind w:left="1781" w:hanging="504"/>
      </w:pPr>
      <w:rPr>
        <w:b w:val="0"/>
        <w:bCs w:val="0"/>
        <w:i w:val="0"/>
        <w:iCs w:val="0"/>
        <w:strike w:val="0"/>
        <w:color w:val="000000"/>
        <w:sz w:val="20"/>
        <w:szCs w:val="20"/>
      </w:rPr>
    </w:lvl>
    <w:lvl w:ilvl="3">
      <w:start w:val="1"/>
      <w:numFmt w:val="decimal"/>
      <w:lvlText w:val="%1.%2.%3.%4."/>
      <w:lvlJc w:val="left"/>
      <w:pPr>
        <w:ind w:left="2491" w:hanging="64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b w:val="1"/>
        <w:bCs w:val="1"/>
      </w:rPr>
    </w:lvl>
    <w:lvl w:ilvl="1">
      <w:start w:val="1"/>
      <w:numFmt w:val="decimal"/>
      <w:lvlText w:val="%1.%2."/>
      <w:lvlJc w:val="left"/>
      <w:pPr>
        <w:ind w:left="999" w:hanging="432"/>
      </w:pPr>
      <w:rPr>
        <w:b w:val="0"/>
        <w:bCs w:val="0"/>
        <w:i w:val="0"/>
        <w:iCs w:val="0"/>
        <w:strike w:val="0"/>
        <w:color w:val="000000"/>
        <w:sz w:val="20"/>
        <w:szCs w:val="20"/>
        <w:u w:val="none"/>
      </w:rPr>
    </w:lvl>
    <w:lvl w:ilvl="2">
      <w:start w:val="1"/>
      <w:numFmt w:val="decimal"/>
      <w:lvlText w:val="%1.%2.%3."/>
      <w:lvlJc w:val="left"/>
      <w:pPr>
        <w:ind w:left="1781" w:hanging="504"/>
      </w:pPr>
      <w:rPr>
        <w:b w:val="0"/>
        <w:bCs w:val="0"/>
        <w:i w:val="0"/>
        <w:iCs w:val="0"/>
        <w:strike w:val="0"/>
        <w:color w:val="000000"/>
        <w:sz w:val="20"/>
        <w:szCs w:val="20"/>
      </w:rPr>
    </w:lvl>
    <w:lvl w:ilvl="3">
      <w:start w:val="1"/>
      <w:numFmt w:val="decimal"/>
      <w:lvlText w:val="%1.%2.%3.%4."/>
      <w:lvlJc w:val="left"/>
      <w:pPr>
        <w:ind w:left="2491" w:hanging="64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cofont_Spranq_eco_Sans" w:cs="Ecofont_Spranq_eco_Sans" w:eastAsia="Ecofont_Spranq_eco_Sans" w:hAnsi="Ecofont_Spranq_eco_Sans"/>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tabs>
        <w:tab w:val="left" w:leader="none" w:pos="1701"/>
      </w:tabs>
      <w:ind w:right="0"/>
      <w:jc w:val="center"/>
    </w:pPr>
    <w:rPr>
      <w:rFonts w:ascii="Times New Roman" w:cs="Times New Roman" w:eastAsia="Times New Roman" w:hAnsi="Times New Roman"/>
      <w:b w:val="1"/>
      <w:bCs w:val="1"/>
      <w:color w:val="000000"/>
    </w:rPr>
  </w:style>
  <w:style w:type="paragraph" w:styleId="Heading3">
    <w:name w:val="heading 3"/>
    <w:basedOn w:val="Normal"/>
    <w:next w:val="Normal"/>
    <w:pPr>
      <w:keepNext w:val="1"/>
      <w:keepLines w:val="1"/>
      <w:spacing w:before="40" w:line="259" w:lineRule="auto"/>
    </w:pPr>
    <w:rPr>
      <w:rFonts w:ascii="Calibri" w:cs="Calibri" w:eastAsia="Calibri" w:hAnsi="Calibri"/>
      <w:color w:val="243f6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366091"/>
    </w:rPr>
  </w:style>
  <w:style w:type="paragraph" w:styleId="Heading5">
    <w:name w:val="heading 5"/>
    <w:basedOn w:val="Normal"/>
    <w:next w:val="Normal"/>
    <w:pPr>
      <w:keepNext w:val="1"/>
      <w:keepLines w:val="1"/>
      <w:spacing w:after="200" w:before="320" w:lineRule="auto"/>
    </w:pPr>
    <w:rPr>
      <w:rFonts w:ascii="Arial" w:cs="Arial" w:eastAsia="Arial" w:hAnsi="Arial"/>
      <w:b w:val="1"/>
      <w:bCs w:val="1"/>
    </w:rPr>
  </w:style>
  <w:style w:type="paragraph" w:styleId="Heading6">
    <w:name w:val="heading 6"/>
    <w:basedOn w:val="Normal"/>
    <w:next w:val="Normal"/>
    <w:pPr>
      <w:keepNext w:val="1"/>
      <w:keepLines w:val="1"/>
      <w:spacing w:before="40" w:line="259" w:lineRule="auto"/>
    </w:pPr>
    <w:rPr>
      <w:rFonts w:ascii="Calibri" w:cs="Calibri" w:eastAsia="Calibri" w:hAnsi="Calibri"/>
      <w:color w:val="243f61"/>
      <w:sz w:val="22"/>
      <w:szCs w:val="22"/>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Subtitle">
    <w:name w:val="Subtitle"/>
    <w:basedOn w:val="Normal"/>
    <w:next w:val="Normal"/>
    <w:pPr>
      <w:spacing w:after="200" w:before="200" w:lineRule="auto"/>
    </w:pPr>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cp/lcp123.htm" TargetMode="External"/><Relationship Id="rId10" Type="http://schemas.openxmlformats.org/officeDocument/2006/relationships/hyperlink" Target="http://www.planalto.gov.br/ccivil_03/_ato2019-2022/2021/lei/L14133.htm#art68" TargetMode="External"/><Relationship Id="rId13" Type="http://schemas.openxmlformats.org/officeDocument/2006/relationships/hyperlink" Target="https://www.gov.br/economia/pt-br/assuntos/drei/legislacao/arquivos/legislacoes-federais/indrei772020.pdf" TargetMode="External"/><Relationship Id="rId12" Type="http://schemas.openxmlformats.org/officeDocument/2006/relationships/hyperlink" Target="https://www.gov.br/empresas-e-negocios/pt-br/empreended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lanalto.gov.br/ccivil_03/_ato2019-2022/2021/lei/L14133.htm#art75" TargetMode="External"/><Relationship Id="rId15" Type="http://schemas.openxmlformats.org/officeDocument/2006/relationships/hyperlink" Target="https://www.planalto.gov.br/ccivil_03/_ato2019-2022/2021/decreto/d10880.htm#art4%C2%A72" TargetMode="External"/><Relationship Id="rId14" Type="http://schemas.openxmlformats.org/officeDocument/2006/relationships/hyperlink" Target="https://www.planalto.gov.br/ccivil_03/leis/l5764.htm#art107" TargetMode="External"/><Relationship Id="rId17" Type="http://schemas.openxmlformats.org/officeDocument/2006/relationships/header" Target="header1.xml"/><Relationship Id="rId16" Type="http://schemas.openxmlformats.org/officeDocument/2006/relationships/hyperlink" Target="https://www.gov.br/trabalho-e-previdencia/pt-br/servicos/empregador/programa-de-alimentacao-do-trabalhador-pat/arquivos-legislacao/instrucoes-normativas/pat_in_971_2009.pdf"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lanalto.gov.br/ccivil_03/_ato2019-2022/2021/lei/L14133.htm#art75" TargetMode="External"/><Relationship Id="rId8" Type="http://schemas.openxmlformats.org/officeDocument/2006/relationships/hyperlink" Target="http://www.planalto.gov.br/ccivil_03/_ato2019-2022/2021/lei/L14133.htm#art1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jYl6ZpyL2zRrlrnWdSIrJl/jQ==">CgMxLjAyDmguN3Fzem9wajVqeHJvMg5oLjJhMXpqMmxoOGQ4YjIOaC5jZ2x2aDU5ZDliM2I4AHIhMW5kckE0cWdiaWtOZnNqZVNjN2gtdERPX1BoV3BnQXdH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0x01010082281FE09FF7E246B4A010428826EACD</vt:lpwstr>
  </property>
</Properties>
</file>