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Transport service and traffic maps</w:t>
      </w:r>
    </w:p>
    <w:p>
      <w:pPr>
        <w:spacing w:after="80"/>
      </w:pPr>
      <w:r>
        <w:t xml:space="preserve">Methodology for the bus network, road traffic and rail usage layers in MasterMapper — how each is built from open data, drawn on the real network and styled, so the approach can be reused on another project.</w:t>
      </w:r>
    </w:p>
    <w:p>
      <w:pPr>
        <w:spacing w:after="240"/>
      </w:pPr>
      <w:r>
        <w:t xml:space="preserve">30 September 2026</w:t>
      </w:r>
    </w:p>
    <w:p>
      <w:pPr>
        <w:pStyle w:val="Heading1"/>
      </w:pPr>
      <w:r>
        <w:t xml:space="preserve">1. Overview</w:t>
      </w:r>
    </w:p>
    <w:p>
      <w:pPr>
        <w:spacing w:after="120"/>
      </w:pPr>
      <w:r>
        <w:t xml:space="preserve">Each layer follows the same four-stage pipeline, and only the first two stages differ between them:</w:t>
      </w:r>
    </w:p>
    <w:p>
      <w:pPr>
        <w:pStyle w:val="ListParagraph"/>
        <w:numPr>
          <w:ilvl w:val="0"/>
          <w:numId w:val="2"/>
        </w:numPr>
        <w:spacing w:after="80"/>
      </w:pPr>
      <w:r>
        <w:rPr>
          <w:b/>
          <w:bCs/>
        </w:rPr>
        <w:t xml:space="preserve">Source</w:t>
      </w:r>
      <w:r>
        <w:t xml:space="preserve"> — open national data: a bus timetable (GTFS), traffic counts (DfT AADF), a rail timetable (CIF), and network geometry (OS Open Roads, OpenStreetMap track).</w:t>
      </w:r>
    </w:p>
    <w:p>
      <w:pPr>
        <w:pStyle w:val="ListParagraph"/>
        <w:numPr>
          <w:ilvl w:val="0"/>
          <w:numId w:val="2"/>
        </w:numPr>
        <w:spacing w:after="80"/>
      </w:pPr>
      <w:r>
        <w:rPr>
          <w:b/>
          <w:bCs/>
        </w:rPr>
        <w:t xml:space="preserve">Build</w:t>
      </w:r>
      <w:r>
        <w:t xml:space="preserve"> — a Python script turns the source into one line or point per network segment, each carrying a busyness value, written as line-delimited GeoJSON.</w:t>
      </w:r>
    </w:p>
    <w:p>
      <w:pPr>
        <w:pStyle w:val="ListParagraph"/>
        <w:numPr>
          <w:ilvl w:val="0"/>
          <w:numId w:val="2"/>
        </w:numPr>
        <w:spacing w:after="80"/>
      </w:pPr>
      <w:r>
        <w:rPr>
          <w:b/>
          <w:bCs/>
        </w:rPr>
        <w:t xml:space="preserve">Tile</w:t>
      </w:r>
      <w:r>
        <w:t xml:space="preserve"> — tippecanoe packs the GeoJSON into a single PMTiles file, uploaded to object storage and read by the map over HTTP range requests. No database or tile server is involved.</w:t>
      </w:r>
    </w:p>
    <w:p>
      <w:pPr>
        <w:pStyle w:val="ListParagraph"/>
        <w:numPr>
          <w:ilvl w:val="0"/>
          <w:numId w:val="2"/>
        </w:numPr>
        <w:spacing w:after="80"/>
      </w:pPr>
      <w:r>
        <w:rPr>
          <w:b/>
          <w:bCs/>
        </w:rPr>
        <w:t xml:space="preserve">Style</w:t>
      </w:r>
      <w:r>
        <w:t xml:space="preserve"> — MapLibre colours and sizes every segment by its value on one shared cold-to-hot ramp, busiest drawn on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CED4DA" w:sz="4"/>
              <w:left w:val="single" w:color="CED4DA" w:sz="4"/>
              <w:bottom w:val="single" w:color="CED4DA" w:sz="4"/>
              <w:right w:val="single" w:color="CED4DA" w:sz="4"/>
            </w:tcBorders>
            <w:shd w:fill="E9ECEF" w:val="clear"/>
            <w:tcMar>
              <w:top w:type="dxa" w:w="60"/>
              <w:left w:type="dxa" w:w="100"/>
              <w:bottom w:type="dxa" w:w="60"/>
              <w:right w:type="dxa" w:w="100"/>
            </w:tcMar>
          </w:tcPr>
          <w:p>
            <w:r>
              <w:rPr>
                <w:b/>
                <w:bCs/>
              </w:rPr>
              <w:t xml:space="preserve">Layer</w:t>
            </w:r>
          </w:p>
        </w:tc>
        <w:tc>
          <w:tcPr>
            <w:tcW w:type="dxa" w:w="3300"/>
            <w:tcBorders>
              <w:top w:val="single" w:color="CED4DA" w:sz="4"/>
              <w:left w:val="single" w:color="CED4DA" w:sz="4"/>
              <w:bottom w:val="single" w:color="CED4DA" w:sz="4"/>
              <w:right w:val="single" w:color="CED4DA" w:sz="4"/>
            </w:tcBorders>
            <w:shd w:fill="E9ECEF" w:val="clear"/>
            <w:tcMar>
              <w:top w:type="dxa" w:w="60"/>
              <w:left w:type="dxa" w:w="100"/>
              <w:bottom w:type="dxa" w:w="60"/>
              <w:right w:type="dxa" w:w="100"/>
            </w:tcMar>
          </w:tcPr>
          <w:p>
            <w:r>
              <w:rPr>
                <w:b/>
                <w:bCs/>
              </w:rPr>
              <w:t xml:space="preserve">Value shown</w:t>
            </w:r>
          </w:p>
        </w:tc>
        <w:tc>
          <w:tcPr>
            <w:tcW w:type="dxa" w:w="3326"/>
            <w:tcBorders>
              <w:top w:val="single" w:color="CED4DA" w:sz="4"/>
              <w:left w:val="single" w:color="CED4DA" w:sz="4"/>
              <w:bottom w:val="single" w:color="CED4DA" w:sz="4"/>
              <w:right w:val="single" w:color="CED4DA" w:sz="4"/>
            </w:tcBorders>
            <w:shd w:fill="E9ECEF" w:val="clear"/>
            <w:tcMar>
              <w:top w:type="dxa" w:w="60"/>
              <w:left w:type="dxa" w:w="100"/>
              <w:bottom w:type="dxa" w:w="60"/>
              <w:right w:type="dxa" w:w="100"/>
            </w:tcMar>
          </w:tcPr>
          <w:p>
            <w:r>
              <w:rPr>
                <w:b/>
                <w:bCs/>
              </w:rPr>
              <w:t xml:space="preserve">Built by</w:t>
            </w:r>
          </w:p>
        </w:tc>
      </w:tr>
      <w:tr>
        <w:trPr>
          <w:tblHeader w:val="off"/>
        </w:trPr>
        <w:tc>
          <w:tcPr>
            <w:tcW w:type="dxa" w:w="24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Bus corridors and stops</w:t>
            </w:r>
          </w:p>
        </w:tc>
        <w:tc>
          <w:tcPr>
            <w:tcW w:type="dxa" w:w="33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Bus journeys per weekday over each stop-to-stop link; departures per stop</w:t>
            </w:r>
          </w:p>
        </w:tc>
        <w:tc>
          <w:tcPr>
            <w:tcW w:type="dxa" w:w="3326"/>
            <w:tcBorders>
              <w:top w:val="single" w:color="CED4DA" w:sz="4"/>
              <w:left w:val="single" w:color="CED4DA" w:sz="4"/>
              <w:bottom w:val="single" w:color="CED4DA" w:sz="4"/>
              <w:right w:val="single" w:color="CED4DA" w:sz="4"/>
            </w:tcBorders>
            <w:tcMar>
              <w:top w:type="dxa" w:w="60"/>
              <w:left w:type="dxa" w:w="100"/>
              <w:bottom w:type="dxa" w:w="60"/>
              <w:right w:type="dxa" w:w="100"/>
            </w:tcMar>
          </w:tcPr>
          <w:p>
            <w:r>
              <w:rPr>
                <w:rFonts w:ascii="Consolas" w:cs="Consolas" w:eastAsia="Consolas" w:hAnsi="Consolas"/>
                <w:sz w:val="19"/>
                <w:szCs w:val="19"/>
              </w:rPr>
              <w:t xml:space="preserve">build_bus_network.py</w:t>
            </w:r>
            <w:r>
              <w:t xml:space="preserve">, </w:t>
            </w:r>
            <w:r>
              <w:rPr>
                <w:rFonts w:ascii="Consolas" w:cs="Consolas" w:eastAsia="Consolas" w:hAnsi="Consolas"/>
                <w:sz w:val="19"/>
                <w:szCs w:val="19"/>
              </w:rPr>
              <w:t xml:space="preserve">road_snap.py</w:t>
            </w:r>
          </w:p>
        </w:tc>
      </w:tr>
      <w:tr>
        <w:trPr>
          <w:tblHeader w:val="off"/>
        </w:trPr>
        <w:tc>
          <w:tcPr>
            <w:tcW w:type="dxa" w:w="24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Road traffic</w:t>
            </w:r>
          </w:p>
        </w:tc>
        <w:tc>
          <w:tcPr>
            <w:tcW w:type="dxa" w:w="33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Motor vehicles per day, both directions (AADF)</w:t>
            </w:r>
          </w:p>
        </w:tc>
        <w:tc>
          <w:tcPr>
            <w:tcW w:type="dxa" w:w="3326"/>
            <w:tcBorders>
              <w:top w:val="single" w:color="CED4DA" w:sz="4"/>
              <w:left w:val="single" w:color="CED4DA" w:sz="4"/>
              <w:bottom w:val="single" w:color="CED4DA" w:sz="4"/>
              <w:right w:val="single" w:color="CED4DA" w:sz="4"/>
            </w:tcBorders>
            <w:tcMar>
              <w:top w:type="dxa" w:w="60"/>
              <w:left w:type="dxa" w:w="100"/>
              <w:bottom w:type="dxa" w:w="60"/>
              <w:right w:type="dxa" w:w="100"/>
            </w:tcMar>
          </w:tcPr>
          <w:p>
            <w:r>
              <w:rPr>
                <w:rFonts w:ascii="Consolas" w:cs="Consolas" w:eastAsia="Consolas" w:hAnsi="Consolas"/>
                <w:sz w:val="19"/>
                <w:szCs w:val="19"/>
              </w:rPr>
              <w:t xml:space="preserve">build_road_traffic.py</w:t>
            </w:r>
          </w:p>
        </w:tc>
      </w:tr>
      <w:tr>
        <w:trPr>
          <w:tblHeader w:val="off"/>
        </w:trPr>
        <w:tc>
          <w:tcPr>
            <w:tcW w:type="dxa" w:w="24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Busiest junctions</w:t>
            </w:r>
          </w:p>
        </w:tc>
        <w:tc>
          <w:tcPr>
            <w:tcW w:type="dxa" w:w="33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Vehicles passing through per day</w:t>
            </w:r>
          </w:p>
        </w:tc>
        <w:tc>
          <w:tcPr>
            <w:tcW w:type="dxa" w:w="3326"/>
            <w:tcBorders>
              <w:top w:val="single" w:color="CED4DA" w:sz="4"/>
              <w:left w:val="single" w:color="CED4DA" w:sz="4"/>
              <w:bottom w:val="single" w:color="CED4DA" w:sz="4"/>
              <w:right w:val="single" w:color="CED4DA" w:sz="4"/>
            </w:tcBorders>
            <w:tcMar>
              <w:top w:type="dxa" w:w="60"/>
              <w:left w:type="dxa" w:w="100"/>
              <w:bottom w:type="dxa" w:w="60"/>
              <w:right w:type="dxa" w:w="100"/>
            </w:tcMar>
          </w:tcPr>
          <w:p>
            <w:r>
              <w:rPr>
                <w:rFonts w:ascii="Consolas" w:cs="Consolas" w:eastAsia="Consolas" w:hAnsi="Consolas"/>
                <w:sz w:val="19"/>
                <w:szCs w:val="19"/>
              </w:rPr>
              <w:t xml:space="preserve">build_road_traffic.py</w:t>
            </w:r>
          </w:p>
        </w:tc>
      </w:tr>
      <w:tr>
        <w:trPr>
          <w:tblHeader w:val="off"/>
        </w:trPr>
        <w:tc>
          <w:tcPr>
            <w:tcW w:type="dxa" w:w="24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Rail lines</w:t>
            </w:r>
          </w:p>
        </w:tc>
        <w:tc>
          <w:tcPr>
            <w:tcW w:type="dxa" w:w="33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Passenger trains per weekday over each section of track</w:t>
            </w:r>
          </w:p>
        </w:tc>
        <w:tc>
          <w:tcPr>
            <w:tcW w:type="dxa" w:w="3326"/>
            <w:tcBorders>
              <w:top w:val="single" w:color="CED4DA" w:sz="4"/>
              <w:left w:val="single" w:color="CED4DA" w:sz="4"/>
              <w:bottom w:val="single" w:color="CED4DA" w:sz="4"/>
              <w:right w:val="single" w:color="CED4DA" w:sz="4"/>
            </w:tcBorders>
            <w:tcMar>
              <w:top w:type="dxa" w:w="60"/>
              <w:left w:type="dxa" w:w="100"/>
              <w:bottom w:type="dxa" w:w="60"/>
              <w:right w:type="dxa" w:w="100"/>
            </w:tcMar>
          </w:tcPr>
          <w:p>
            <w:r>
              <w:rPr>
                <w:rFonts w:ascii="Consolas" w:cs="Consolas" w:eastAsia="Consolas" w:hAnsi="Consolas"/>
                <w:sz w:val="19"/>
                <w:szCs w:val="19"/>
              </w:rPr>
              <w:t xml:space="preserve">build_rail_usage.py</w:t>
            </w:r>
          </w:p>
        </w:tc>
      </w:tr>
    </w:tbl>
    <w:p>
      <w:pPr>
        <w:spacing w:after="60"/>
      </w:pPr>
    </w:p>
    <w:p>
      <w:pPr>
        <w:pStyle w:val="Heading1"/>
      </w:pPr>
      <w:r>
        <w:t xml:space="preserve">2. Bus network: from timetable to street-following corridors</w:t>
      </w:r>
    </w:p>
    <w:p>
      <w:pPr>
        <w:pStyle w:val="Heading2"/>
      </w:pPr>
      <w:r>
        <w:t xml:space="preserve">Source</w:t>
      </w:r>
    </w:p>
    <w:p>
      <w:pPr>
        <w:spacing w:after="120"/>
      </w:pPr>
      <w:r>
        <w:t xml:space="preserve">The Bus Open Data Service (BODS) publishes every registered bus timetable in Great Britain as GTFS: a national file (about 1 GB) and regional files, downloadable without a key. Any GTFS feed works the same way. The files used are </w:t>
      </w:r>
      <w:r>
        <w:rPr>
          <w:rFonts w:ascii="Consolas" w:cs="Consolas" w:eastAsia="Consolas" w:hAnsi="Consolas"/>
          <w:sz w:val="19"/>
          <w:szCs w:val="19"/>
        </w:rPr>
        <w:t xml:space="preserve">calendar.txt</w:t>
      </w:r>
      <w:r>
        <w:t xml:space="preserve">, </w:t>
      </w:r>
      <w:r>
        <w:rPr>
          <w:rFonts w:ascii="Consolas" w:cs="Consolas" w:eastAsia="Consolas" w:hAnsi="Consolas"/>
          <w:sz w:val="19"/>
          <w:szCs w:val="19"/>
        </w:rPr>
        <w:t xml:space="preserve">calendar_dates.txt</w:t>
      </w:r>
      <w:r>
        <w:t xml:space="preserve">, </w:t>
      </w:r>
      <w:r>
        <w:rPr>
          <w:rFonts w:ascii="Consolas" w:cs="Consolas" w:eastAsia="Consolas" w:hAnsi="Consolas"/>
          <w:sz w:val="19"/>
          <w:szCs w:val="19"/>
        </w:rPr>
        <w:t xml:space="preserve">routes.txt</w:t>
      </w:r>
      <w:r>
        <w:t xml:space="preserve">, </w:t>
      </w:r>
      <w:r>
        <w:rPr>
          <w:rFonts w:ascii="Consolas" w:cs="Consolas" w:eastAsia="Consolas" w:hAnsi="Consolas"/>
          <w:sz w:val="19"/>
          <w:szCs w:val="19"/>
        </w:rPr>
        <w:t xml:space="preserve">trips.txt</w:t>
      </w:r>
      <w:r>
        <w:t xml:space="preserve">, </w:t>
      </w:r>
      <w:r>
        <w:rPr>
          <w:rFonts w:ascii="Consolas" w:cs="Consolas" w:eastAsia="Consolas" w:hAnsi="Consolas"/>
          <w:sz w:val="19"/>
          <w:szCs w:val="19"/>
        </w:rPr>
        <w:t xml:space="preserve">frequencies.txt</w:t>
      </w:r>
      <w:r>
        <w:t xml:space="preserve">, </w:t>
      </w:r>
      <w:r>
        <w:rPr>
          <w:rFonts w:ascii="Consolas" w:cs="Consolas" w:eastAsia="Consolas" w:hAnsi="Consolas"/>
          <w:sz w:val="19"/>
          <w:szCs w:val="19"/>
        </w:rPr>
        <w:t xml:space="preserve">shapes.txt</w:t>
      </w:r>
      <w:r>
        <w:t xml:space="preserve">, </w:t>
      </w:r>
      <w:r>
        <w:rPr>
          <w:rFonts w:ascii="Consolas" w:cs="Consolas" w:eastAsia="Consolas" w:hAnsi="Consolas"/>
          <w:sz w:val="19"/>
          <w:szCs w:val="19"/>
        </w:rPr>
        <w:t xml:space="preserve">stops.txt</w:t>
      </w:r>
      <w:r>
        <w:t xml:space="preserve"> and </w:t>
      </w:r>
      <w:r>
        <w:rPr>
          <w:rFonts w:ascii="Consolas" w:cs="Consolas" w:eastAsia="Consolas" w:hAnsi="Consolas"/>
          <w:sz w:val="19"/>
          <w:szCs w:val="19"/>
        </w:rPr>
        <w:t xml:space="preserve">stop_times.txt</w:t>
      </w:r>
      <w:r>
        <w:t xml:space="preserve">.</w:t>
      </w:r>
    </w:p>
    <w:p>
      <w:pPr>
        <w:pStyle w:val="Heading2"/>
      </w:pPr>
      <w:r>
        <w:t xml:space="preserve">Method</w:t>
      </w:r>
    </w:p>
    <w:p>
      <w:pPr>
        <w:pStyle w:val="ListParagraph"/>
        <w:numPr>
          <w:ilvl w:val="0"/>
          <w:numId w:val="3"/>
        </w:numPr>
        <w:spacing w:after="80"/>
      </w:pPr>
      <w:r>
        <w:rPr>
          <w:b/>
          <w:bCs/>
        </w:rPr>
        <w:t xml:space="preserve">Pick one real day.</w:t>
      </w:r>
      <w:r>
        <w:t xml:space="preserve"> Take the first Tuesday on or after today that falls inside the feed's validity. A service runs if its weekday flag is set in </w:t>
      </w:r>
      <w:r>
        <w:rPr>
          <w:rFonts w:ascii="Consolas" w:cs="Consolas" w:eastAsia="Consolas" w:hAnsi="Consolas"/>
          <w:sz w:val="19"/>
          <w:szCs w:val="19"/>
        </w:rPr>
        <w:t xml:space="preserve">calendar.txt</w:t>
      </w:r>
      <w:r>
        <w:t xml:space="preserve"> and the date is inside its start and end dates; then apply </w:t>
      </w:r>
      <w:r>
        <w:rPr>
          <w:rFonts w:ascii="Consolas" w:cs="Consolas" w:eastAsia="Consolas" w:hAnsi="Consolas"/>
          <w:sz w:val="19"/>
          <w:szCs w:val="19"/>
        </w:rPr>
        <w:t xml:space="preserve">calendar_dates.txt</w:t>
      </w:r>
      <w:r>
        <w:t xml:space="preserve"> (exception 1 adds a service on that date, 2 removes it). This matters: BODS publishes overlapping versions of the same timetable (this term and next), and counting every service that runs “on Tuesdays” double-counts them.</w:t>
      </w:r>
    </w:p>
    <w:p>
      <w:pPr>
        <w:pStyle w:val="ListParagraph"/>
        <w:numPr>
          <w:ilvl w:val="0"/>
          <w:numId w:val="3"/>
        </w:numPr>
        <w:spacing w:after="80"/>
      </w:pPr>
      <w:r>
        <w:rPr>
          <w:b/>
          <w:bCs/>
        </w:rPr>
        <w:t xml:space="preserve">Keep buses only.</w:t>
      </w:r>
      <w:r>
        <w:t xml:space="preserve"> Filter </w:t>
      </w:r>
      <w:r>
        <w:rPr>
          <w:rFonts w:ascii="Consolas" w:cs="Consolas" w:eastAsia="Consolas" w:hAnsi="Consolas"/>
          <w:sz w:val="19"/>
          <w:szCs w:val="19"/>
        </w:rPr>
        <w:t xml:space="preserve">routes.txt</w:t>
      </w:r>
      <w:r>
        <w:t xml:space="preserve"> on </w:t>
      </w:r>
      <w:r>
        <w:rPr>
          <w:rFonts w:ascii="Consolas" w:cs="Consolas" w:eastAsia="Consolas" w:hAnsi="Consolas"/>
          <w:sz w:val="19"/>
          <w:szCs w:val="19"/>
        </w:rPr>
        <w:t xml:space="preserve">route_type</w:t>
      </w:r>
      <w:r>
        <w:t xml:space="preserve"> 3 and the 700–799 extended bus types. The feed also carries coaches (200), rail, tram and river boats (4); left in, the boats drew straight lines down the Thames.</w:t>
      </w:r>
    </w:p>
    <w:p>
      <w:pPr>
        <w:pStyle w:val="ListParagraph"/>
        <w:numPr>
          <w:ilvl w:val="0"/>
          <w:numId w:val="3"/>
        </w:numPr>
        <w:spacing w:after="80"/>
      </w:pPr>
      <w:r>
        <w:rPr>
          <w:b/>
          <w:bCs/>
        </w:rPr>
        <w:t xml:space="preserve">Expand frequency-based trips.</w:t>
      </w:r>
      <w:r>
        <w:t xml:space="preserve"> A trip listed in </w:t>
      </w:r>
      <w:r>
        <w:rPr>
          <w:rFonts w:ascii="Consolas" w:cs="Consolas" w:eastAsia="Consolas" w:hAnsi="Consolas"/>
          <w:sz w:val="19"/>
          <w:szCs w:val="19"/>
        </w:rPr>
        <w:t xml:space="preserve">frequencies.txt</w:t>
      </w:r>
      <w:r>
        <w:t xml:space="preserve"> runs every headway between a start and end time, so it counts once per departure, not once.</w:t>
      </w:r>
    </w:p>
    <w:p>
      <w:pPr>
        <w:pStyle w:val="ListParagraph"/>
        <w:numPr>
          <w:ilvl w:val="0"/>
          <w:numId w:val="3"/>
        </w:numPr>
        <w:spacing w:after="80"/>
      </w:pPr>
      <w:r>
        <w:rPr>
          <w:b/>
          <w:bCs/>
        </w:rPr>
        <w:t xml:space="preserve">Stream the stop times once.</w:t>
      </w:r>
      <w:r>
        <w:t xml:space="preserve"> </w:t>
      </w:r>
      <w:r>
        <w:rPr>
          <w:rFonts w:ascii="Consolas" w:cs="Consolas" w:eastAsia="Consolas" w:hAnsi="Consolas"/>
          <w:sz w:val="19"/>
          <w:szCs w:val="19"/>
        </w:rPr>
        <w:t xml:space="preserve">stop_times.txt</w:t>
      </w:r>
      <w:r>
        <w:t xml:space="preserve"> is the large file (1.5 GB for London alone), so read it with a plain CSV reader, one trip at a time in stop-sequence order. For each trip: add one departure to every stop it serves (and to a daytime count if the time is 07:00–19:00, later divided by 12 for buses per hour); add one journey to every consecutive stop pair; record the route numbers (up to ten per stop and per link). Store each pair in a fixed order, so A–B and B–A merge into one two-way link.</w:t>
      </w:r>
    </w:p>
    <w:p>
      <w:pPr>
        <w:pStyle w:val="ListParagraph"/>
        <w:numPr>
          <w:ilvl w:val="0"/>
          <w:numId w:val="3"/>
        </w:numPr>
        <w:spacing w:after="80"/>
      </w:pPr>
      <w:r>
        <w:rPr>
          <w:b/>
          <w:bCs/>
        </w:rPr>
        <w:t xml:space="preserve">Give every link a shape that follows the road</w:t>
      </w:r>
      <w:r>
        <w:t xml:space="preserve"> — see section 3.</w:t>
      </w:r>
    </w:p>
    <w:p>
      <w:pPr>
        <w:pStyle w:val="ListParagraph"/>
        <w:numPr>
          <w:ilvl w:val="0"/>
          <w:numId w:val="3"/>
        </w:numPr>
        <w:spacing w:after="80"/>
      </w:pPr>
      <w:r>
        <w:rPr>
          <w:b/>
          <w:bCs/>
        </w:rPr>
        <w:t xml:space="preserve">Drop straight hops over 3 km</w:t>
      </w:r>
      <w:r>
        <w:t xml:space="preserve"> that could not be routed: they are express or coach jumps and would cut across the map.</w:t>
      </w:r>
    </w:p>
    <w:p>
      <w:pPr>
        <w:pStyle w:val="ListParagraph"/>
        <w:numPr>
          <w:ilvl w:val="0"/>
          <w:numId w:val="3"/>
        </w:numPr>
        <w:spacing w:after="80"/>
      </w:pPr>
      <w:r>
        <w:rPr>
          <w:b/>
          <w:bCs/>
        </w:rPr>
        <w:t xml:space="preserve">Write the output</w:t>
      </w:r>
      <w:r>
        <w:t xml:space="preserve">: line-delimited GeoJSON with a </w:t>
      </w:r>
      <w:r>
        <w:rPr>
          <w:rFonts w:ascii="Consolas" w:cs="Consolas" w:eastAsia="Consolas" w:hAnsi="Consolas"/>
          <w:sz w:val="19"/>
          <w:szCs w:val="19"/>
        </w:rPr>
        <w:t xml:space="preserve">bus_links</w:t>
      </w:r>
      <w:r>
        <w:t xml:space="preserve"> layer (</w:t>
      </w:r>
      <w:r>
        <w:rPr>
          <w:rFonts w:ascii="Consolas" w:cs="Consolas" w:eastAsia="Consolas" w:hAnsi="Consolas"/>
          <w:sz w:val="19"/>
          <w:szCs w:val="19"/>
        </w:rPr>
        <w:t xml:space="preserve">trips</w:t>
      </w:r>
      <w:r>
        <w:t xml:space="preserve">, </w:t>
      </w:r>
      <w:r>
        <w:rPr>
          <w:rFonts w:ascii="Consolas" w:cs="Consolas" w:eastAsia="Consolas" w:hAnsi="Consolas"/>
          <w:sz w:val="19"/>
          <w:szCs w:val="19"/>
        </w:rPr>
        <w:t xml:space="preserve">routes</w:t>
      </w:r>
      <w:r>
        <w:t xml:space="preserve">) and a </w:t>
      </w:r>
      <w:r>
        <w:rPr>
          <w:rFonts w:ascii="Consolas" w:cs="Consolas" w:eastAsia="Consolas" w:hAnsi="Consolas"/>
          <w:sz w:val="19"/>
          <w:szCs w:val="19"/>
        </w:rPr>
        <w:t xml:space="preserve">bus_stops</w:t>
      </w:r>
      <w:r>
        <w:t xml:space="preserve"> layer (</w:t>
      </w:r>
      <w:r>
        <w:rPr>
          <w:rFonts w:ascii="Consolas" w:cs="Consolas" w:eastAsia="Consolas" w:hAnsi="Consolas"/>
          <w:sz w:val="19"/>
          <w:szCs w:val="19"/>
        </w:rPr>
        <w:t xml:space="preserve">trips</w:t>
      </w:r>
      <w:r>
        <w:t xml:space="preserve">, </w:t>
      </w:r>
      <w:r>
        <w:rPr>
          <w:rFonts w:ascii="Consolas" w:cs="Consolas" w:eastAsia="Consolas" w:hAnsi="Consolas"/>
          <w:sz w:val="19"/>
          <w:szCs w:val="19"/>
        </w:rPr>
        <w:t xml:space="preserve">bph</w:t>
      </w:r>
      <w:r>
        <w:t xml:space="preserve">, </w:t>
      </w:r>
      <w:r>
        <w:rPr>
          <w:rFonts w:ascii="Consolas" w:cs="Consolas" w:eastAsia="Consolas" w:hAnsi="Consolas"/>
          <w:sz w:val="19"/>
          <w:szCs w:val="19"/>
        </w:rPr>
        <w:t xml:space="preserve">routes</w:t>
      </w:r>
      <w:r>
        <w:t xml:space="preserve">), plus a CSV of per-stop figures for the database.</w:t>
      </w:r>
    </w:p>
    <w:p>
      <w:pPr>
        <w:pStyle w:val="Heading2"/>
      </w:pPr>
      <w:r>
        <w:t xml:space="preserve">Minimum zoom by busyness</w:t>
      </w:r>
    </w:p>
    <w:p>
      <w:pPr>
        <w:spacing w:after="120"/>
      </w:pPr>
      <w:r>
        <w:t xml:space="preserve">Each feature carries the zoom it first appears at, so busy corridors show from the regional view and the long tail only close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ED4DA" w:sz="4"/>
              <w:left w:val="single" w:color="CED4DA" w:sz="4"/>
              <w:bottom w:val="single" w:color="CED4DA" w:sz="4"/>
              <w:right w:val="single" w:color="CED4DA" w:sz="4"/>
            </w:tcBorders>
            <w:shd w:fill="E9ECEF" w:val="clear"/>
            <w:tcMar>
              <w:top w:type="dxa" w:w="60"/>
              <w:left w:type="dxa" w:w="100"/>
              <w:bottom w:type="dxa" w:w="60"/>
              <w:right w:type="dxa" w:w="100"/>
            </w:tcMar>
          </w:tcPr>
          <w:p>
            <w:r>
              <w:rPr>
                <w:b/>
                <w:bCs/>
              </w:rPr>
              <w:t xml:space="preserve">Journeys per weekday</w:t>
            </w:r>
          </w:p>
        </w:tc>
        <w:tc>
          <w:tcPr>
            <w:tcW w:type="dxa" w:w="4513"/>
            <w:tcBorders>
              <w:top w:val="single" w:color="CED4DA" w:sz="4"/>
              <w:left w:val="single" w:color="CED4DA" w:sz="4"/>
              <w:bottom w:val="single" w:color="CED4DA" w:sz="4"/>
              <w:right w:val="single" w:color="CED4DA" w:sz="4"/>
            </w:tcBorders>
            <w:shd w:fill="E9ECEF" w:val="clear"/>
            <w:tcMar>
              <w:top w:type="dxa" w:w="60"/>
              <w:left w:type="dxa" w:w="100"/>
              <w:bottom w:type="dxa" w:w="60"/>
              <w:right w:type="dxa" w:w="100"/>
            </w:tcMar>
          </w:tcPr>
          <w:p>
            <w:r>
              <w:rPr>
                <w:b/>
                <w:bCs/>
              </w:rPr>
              <w:t xml:space="preserve">Link visible from</w:t>
            </w:r>
          </w:p>
        </w:tc>
      </w:tr>
      <w:tr>
        <w:trPr>
          <w:tblHeader w:val="off"/>
        </w:trPr>
        <w:tc>
          <w:tcPr>
            <w:tcW w:type="dxa" w:w="4513"/>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400 or more</w:t>
            </w:r>
          </w:p>
        </w:tc>
        <w:tc>
          <w:tcPr>
            <w:tcW w:type="dxa" w:w="4513"/>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zoom 6</w:t>
            </w:r>
          </w:p>
        </w:tc>
      </w:tr>
      <w:tr>
        <w:trPr>
          <w:tblHeader w:val="off"/>
        </w:trPr>
        <w:tc>
          <w:tcPr>
            <w:tcW w:type="dxa" w:w="4513"/>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150–399</w:t>
            </w:r>
          </w:p>
        </w:tc>
        <w:tc>
          <w:tcPr>
            <w:tcW w:type="dxa" w:w="4513"/>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zoom 8</w:t>
            </w:r>
          </w:p>
        </w:tc>
      </w:tr>
      <w:tr>
        <w:trPr>
          <w:tblHeader w:val="off"/>
        </w:trPr>
        <w:tc>
          <w:tcPr>
            <w:tcW w:type="dxa" w:w="4513"/>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60–149</w:t>
            </w:r>
          </w:p>
        </w:tc>
        <w:tc>
          <w:tcPr>
            <w:tcW w:type="dxa" w:w="4513"/>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zoom 9</w:t>
            </w:r>
          </w:p>
        </w:tc>
      </w:tr>
      <w:tr>
        <w:trPr>
          <w:tblHeader w:val="off"/>
        </w:trPr>
        <w:tc>
          <w:tcPr>
            <w:tcW w:type="dxa" w:w="4513"/>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20–59</w:t>
            </w:r>
          </w:p>
        </w:tc>
        <w:tc>
          <w:tcPr>
            <w:tcW w:type="dxa" w:w="4513"/>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zoom 10</w:t>
            </w:r>
          </w:p>
        </w:tc>
      </w:tr>
      <w:tr>
        <w:trPr>
          <w:tblHeader w:val="off"/>
        </w:trPr>
        <w:tc>
          <w:tcPr>
            <w:tcW w:type="dxa" w:w="4513"/>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under 20</w:t>
            </w:r>
          </w:p>
        </w:tc>
        <w:tc>
          <w:tcPr>
            <w:tcW w:type="dxa" w:w="4513"/>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zoom 11</w:t>
            </w:r>
          </w:p>
        </w:tc>
      </w:tr>
    </w:tbl>
    <w:p>
      <w:pPr>
        <w:spacing w:after="120" w:before="120"/>
      </w:pPr>
      <w:r>
        <w:t xml:space="preserve">Stops: 400+ departures from zoom 9, 100+ from 11, 20+ from 12, the rest from 13.</w:t>
      </w:r>
    </w:p>
    <w:p>
      <w:pPr>
        <w:pStyle w:val="Heading1"/>
      </w:pPr>
      <w:r>
        <w:t xml:space="preserve">3. Routing stop-to-stop links along the roads</w:t>
      </w:r>
    </w:p>
    <w:p>
      <w:pPr>
        <w:spacing w:after="120"/>
      </w:pPr>
      <w:r>
        <w:t xml:space="preserve">This is the step that makes the bus map read as streets rather than a web of straight lines. It works on any list of point-to-point hops, not only buses.</w:t>
      </w:r>
    </w:p>
    <w:p>
      <w:pPr>
        <w:pStyle w:val="Heading2"/>
      </w:pPr>
      <w:r>
        <w:t xml:space="preserve">When the feed has a route shape</w:t>
      </w:r>
    </w:p>
    <w:p>
      <w:pPr>
        <w:spacing w:after="120"/>
      </w:pPr>
      <w:r>
        <w:t xml:space="preserve">Cut the shape between the two stops. For each stop in turn, walk forward along the shape to its nearest vertex, so a route that loops back past the same street is cut in the right place. Only trust the cut if the stop is within 120 m of the shape. Do this once per shape and stop pattern rather than once per trip.</w:t>
      </w:r>
    </w:p>
    <w:p>
      <w:pPr>
        <w:pStyle w:val="Heading2"/>
      </w:pPr>
      <w:r>
        <w:t xml:space="preserve">When it does not (98% of London’s links)</w:t>
      </w:r>
    </w:p>
    <w:p>
      <w:pPr>
        <w:spacing w:after="120"/>
      </w:pPr>
      <w:r>
        <w:t xml:space="preserve">Route the hop along OS Open Roads, which carries a start node, end node and length on every road link. Work one 100 km grid square at a time so the network in memory stays small:</w:t>
      </w:r>
    </w:p>
    <w:p>
      <w:pPr>
        <w:pStyle w:val="ListParagraph"/>
        <w:numPr>
          <w:ilvl w:val="0"/>
          <w:numId w:val="4"/>
        </w:numPr>
        <w:spacing w:after="80"/>
      </w:pPr>
      <w:r>
        <w:t xml:space="preserve">Load the square’s road links, plus a 3 km margin from each neighbouring square.</w:t>
      </w:r>
    </w:p>
    <w:p>
      <w:pPr>
        <w:pStyle w:val="ListParagraph"/>
        <w:numPr>
          <w:ilvl w:val="0"/>
          <w:numId w:val="4"/>
        </w:numPr>
        <w:spacing w:after="80"/>
      </w:pPr>
      <w:r>
        <w:t xml:space="preserve">Build a graph: nodes are link ends, edges are road links weighted by length.</w:t>
      </w:r>
    </w:p>
    <w:p>
      <w:pPr>
        <w:pStyle w:val="ListParagraph"/>
        <w:numPr>
          <w:ilvl w:val="0"/>
          <w:numId w:val="4"/>
        </w:numPr>
        <w:spacing w:after="80"/>
      </w:pPr>
      <w:r>
        <w:t xml:space="preserve">Snap each stop to its nearest road link within 60 m using a spatial index (shapely </w:t>
      </w:r>
      <w:r>
        <w:rPr>
          <w:rFonts w:ascii="Consolas" w:cs="Consolas" w:eastAsia="Consolas" w:hAnsi="Consolas"/>
          <w:sz w:val="19"/>
          <w:szCs w:val="19"/>
        </w:rPr>
        <w:t xml:space="preserve">STRtree</w:t>
      </w:r>
      <w:r>
        <w:t xml:space="preserve">), and note how far along that link it sits.</w:t>
      </w:r>
    </w:p>
    <w:p>
      <w:pPr>
        <w:pStyle w:val="ListParagraph"/>
        <w:numPr>
          <w:ilvl w:val="0"/>
          <w:numId w:val="4"/>
        </w:numPr>
        <w:spacing w:after="80"/>
      </w:pPr>
      <w:r>
        <w:t xml:space="preserve">Run Dijkstra from both ends of the first stop’s link to both ends of the second’s, each starting with its partial distance along the link. If both stops are on the same link, take the piece between them.</w:t>
      </w:r>
    </w:p>
    <w:p>
      <w:pPr>
        <w:pStyle w:val="ListParagraph"/>
        <w:numPr>
          <w:ilvl w:val="0"/>
          <w:numId w:val="4"/>
        </w:numPr>
        <w:spacing w:after="80"/>
      </w:pPr>
      <w:r>
        <w:t xml:space="preserve">Stitch the partial first link, the path and the partial last link into one line.</w:t>
      </w:r>
    </w:p>
    <w:p>
      <w:pPr>
        <w:pStyle w:val="ListParagraph"/>
        <w:numPr>
          <w:ilvl w:val="0"/>
          <w:numId w:val="4"/>
        </w:numPr>
        <w:spacing w:after="80"/>
      </w:pPr>
      <w:r>
        <w:t xml:space="preserve">Reject any path longer than the larger of 2.5 × the straight distance or the straight distance + 400 m — a missing link or one-way system would otherwise send the line on a tour — and keep that hop straight.</w:t>
      </w:r>
    </w:p>
    <w:p>
      <w:pPr>
        <w:pStyle w:val="ListParagraph"/>
        <w:numPr>
          <w:ilvl w:val="0"/>
          <w:numId w:val="4"/>
        </w:numPr>
        <w:spacing w:after="80"/>
      </w:pPr>
      <w:r>
        <w:t xml:space="preserve">Simplify the result to 1.5 m tolerance and convert back to longitude/latitude.</w:t>
      </w:r>
    </w:p>
    <w:p>
      <w:pPr>
        <w:spacing w:after="120" w:before="120"/>
      </w:pPr>
      <w:r>
        <w:rPr>
          <w:b/>
          <w:bCs/>
        </w:rPr>
        <w:t xml:space="preserve">Result:</w:t>
      </w:r>
      <w:r>
        <w:t xml:space="preserve"> 27,022 of 27,140 London links (99.6%) follow the streets, in about 45 seconds; the national file routes in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26"/>
      </w:tblGrid>
      <w:tr>
        <w:trPr>
          <w:tblHeader/>
        </w:trPr>
        <w:tc>
          <w:tcPr>
            <w:tcW w:type="dxa" w:w="3200"/>
            <w:tcBorders>
              <w:top w:val="single" w:color="CED4DA" w:sz="4"/>
              <w:left w:val="single" w:color="CED4DA" w:sz="4"/>
              <w:bottom w:val="single" w:color="CED4DA" w:sz="4"/>
              <w:right w:val="single" w:color="CED4DA" w:sz="4"/>
            </w:tcBorders>
            <w:shd w:fill="E9ECEF" w:val="clear"/>
            <w:tcMar>
              <w:top w:type="dxa" w:w="60"/>
              <w:left w:type="dxa" w:w="100"/>
              <w:bottom w:type="dxa" w:w="60"/>
              <w:right w:type="dxa" w:w="100"/>
            </w:tcMar>
          </w:tcPr>
          <w:p>
            <w:r>
              <w:rPr>
                <w:b/>
                <w:bCs/>
              </w:rPr>
              <w:t xml:space="preserve">Parameter</w:t>
            </w:r>
          </w:p>
        </w:tc>
        <w:tc>
          <w:tcPr>
            <w:tcW w:type="dxa" w:w="1600"/>
            <w:tcBorders>
              <w:top w:val="single" w:color="CED4DA" w:sz="4"/>
              <w:left w:val="single" w:color="CED4DA" w:sz="4"/>
              <w:bottom w:val="single" w:color="CED4DA" w:sz="4"/>
              <w:right w:val="single" w:color="CED4DA" w:sz="4"/>
            </w:tcBorders>
            <w:shd w:fill="E9ECEF" w:val="clear"/>
            <w:tcMar>
              <w:top w:type="dxa" w:w="60"/>
              <w:left w:type="dxa" w:w="100"/>
              <w:bottom w:type="dxa" w:w="60"/>
              <w:right w:type="dxa" w:w="100"/>
            </w:tcMar>
          </w:tcPr>
          <w:p>
            <w:r>
              <w:rPr>
                <w:b/>
                <w:bCs/>
              </w:rPr>
              <w:t xml:space="preserve">Value</w:t>
            </w:r>
          </w:p>
        </w:tc>
        <w:tc>
          <w:tcPr>
            <w:tcW w:type="dxa" w:w="4226"/>
            <w:tcBorders>
              <w:top w:val="single" w:color="CED4DA" w:sz="4"/>
              <w:left w:val="single" w:color="CED4DA" w:sz="4"/>
              <w:bottom w:val="single" w:color="CED4DA" w:sz="4"/>
              <w:right w:val="single" w:color="CED4DA" w:sz="4"/>
            </w:tcBorders>
            <w:shd w:fill="E9ECEF" w:val="clear"/>
            <w:tcMar>
              <w:top w:type="dxa" w:w="60"/>
              <w:left w:type="dxa" w:w="100"/>
              <w:bottom w:type="dxa" w:w="60"/>
              <w:right w:type="dxa" w:w="100"/>
            </w:tcMar>
          </w:tcPr>
          <w:p>
            <w:r>
              <w:rPr>
                <w:b/>
                <w:bCs/>
              </w:rPr>
              <w:t xml:space="preserve">Why</w:t>
            </w:r>
          </w:p>
        </w:tc>
      </w:tr>
      <w:tr>
        <w:trPr>
          <w:tblHeader w:val="off"/>
        </w:trPr>
        <w:tc>
          <w:tcPr>
            <w:tcW w:type="dxa" w:w="32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Stop-to-road snap distance</w:t>
            </w:r>
          </w:p>
        </w:tc>
        <w:tc>
          <w:tcPr>
            <w:tcW w:type="dxa" w:w="16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60 m</w:t>
            </w:r>
          </w:p>
        </w:tc>
        <w:tc>
          <w:tcPr>
            <w:tcW w:type="dxa" w:w="4226"/>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Stops sit on the kerb; further means a stop off the road network</w:t>
            </w:r>
          </w:p>
        </w:tc>
      </w:tr>
      <w:tr>
        <w:trPr>
          <w:tblHeader w:val="off"/>
        </w:trPr>
        <w:tc>
          <w:tcPr>
            <w:tcW w:type="dxa" w:w="32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Neighbour margin</w:t>
            </w:r>
          </w:p>
        </w:tc>
        <w:tc>
          <w:tcPr>
            <w:tcW w:type="dxa" w:w="16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3 km</w:t>
            </w:r>
          </w:p>
        </w:tc>
        <w:tc>
          <w:tcPr>
            <w:tcW w:type="dxa" w:w="4226"/>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Covers any hop that crosses a grid-square edge</w:t>
            </w:r>
          </w:p>
        </w:tc>
      </w:tr>
      <w:tr>
        <w:trPr>
          <w:tblHeader w:val="off"/>
        </w:trPr>
        <w:tc>
          <w:tcPr>
            <w:tcW w:type="dxa" w:w="32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Detour cap</w:t>
            </w:r>
          </w:p>
        </w:tc>
        <w:tc>
          <w:tcPr>
            <w:tcW w:type="dxa" w:w="16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max(2.5 × straight, straight + 400 m)</w:t>
            </w:r>
          </w:p>
        </w:tc>
        <w:tc>
          <w:tcPr>
            <w:tcW w:type="dxa" w:w="4226"/>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Stops the shortest path wandering where data is missing</w:t>
            </w:r>
          </w:p>
        </w:tc>
      </w:tr>
      <w:tr>
        <w:trPr>
          <w:tblHeader w:val="off"/>
        </w:trPr>
        <w:tc>
          <w:tcPr>
            <w:tcW w:type="dxa" w:w="32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Shape trust distance</w:t>
            </w:r>
          </w:p>
        </w:tc>
        <w:tc>
          <w:tcPr>
            <w:tcW w:type="dxa" w:w="16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120 m</w:t>
            </w:r>
          </w:p>
        </w:tc>
        <w:tc>
          <w:tcPr>
            <w:tcW w:type="dxa" w:w="4226"/>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Beyond it the shape and stop disagree</w:t>
            </w:r>
          </w:p>
        </w:tc>
      </w:tr>
      <w:tr>
        <w:trPr>
          <w:tblHeader w:val="off"/>
        </w:trPr>
        <w:tc>
          <w:tcPr>
            <w:tcW w:type="dxa" w:w="32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Straight-line cut-off</w:t>
            </w:r>
          </w:p>
        </w:tc>
        <w:tc>
          <w:tcPr>
            <w:tcW w:type="dxa" w:w="16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3 km</w:t>
            </w:r>
          </w:p>
        </w:tc>
        <w:tc>
          <w:tcPr>
            <w:tcW w:type="dxa" w:w="4226"/>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Longer unrouted hops are express jumps</w:t>
            </w:r>
          </w:p>
        </w:tc>
      </w:tr>
    </w:tbl>
    <w:p>
      <w:pPr>
        <w:spacing w:after="60"/>
      </w:pPr>
    </w:p>
    <w:p>
      <w:pPr>
        <w:pStyle w:val="Heading1"/>
      </w:pPr>
      <w:r>
        <w:t xml:space="preserve">4. Road traffic: DfT counts on the road network</w:t>
      </w:r>
    </w:p>
    <w:p>
      <w:pPr>
        <w:pStyle w:val="Heading2"/>
      </w:pPr>
      <w:r>
        <w:t xml:space="preserve">Sources</w:t>
      </w:r>
    </w:p>
    <w:p>
      <w:pPr>
        <w:pStyle w:val="ListParagraph"/>
        <w:numPr>
          <w:ilvl w:val="0"/>
          <w:numId w:val="5"/>
        </w:numPr>
        <w:spacing w:after="60"/>
      </w:pPr>
      <w:r>
        <w:rPr>
          <w:b/>
          <w:bCs/>
        </w:rPr>
        <w:t xml:space="preserve">DfT annual average daily flow (AADF)</w:t>
      </w:r>
      <w:r>
        <w:t xml:space="preserve"> by count point — a 19 MB zip of every count and estimate since 2000, with the road number, the junctions bounding the counted link and its length.</w:t>
      </w:r>
    </w:p>
    <w:p>
      <w:pPr>
        <w:pStyle w:val="ListParagraph"/>
        <w:numPr>
          <w:ilvl w:val="0"/>
          <w:numId w:val="5"/>
        </w:numPr>
        <w:spacing w:after="60"/>
      </w:pPr>
      <w:r>
        <w:rPr>
          <w:b/>
          <w:bCs/>
        </w:rPr>
        <w:t xml:space="preserve">OS Open Roads</w:t>
      </w:r>
      <w:r>
        <w:t xml:space="preserve"> (Shapefile, 600 MB) — every road link in Great Britain with class, road number, form of way (single, dual, slip, roundabout) and start/end nodes.</w:t>
      </w:r>
    </w:p>
    <w:p>
      <w:pPr>
        <w:pStyle w:val="Heading2"/>
      </w:pPr>
      <w:r>
        <w:t xml:space="preserve">Method</w:t>
      </w:r>
    </w:p>
    <w:p>
      <w:pPr>
        <w:pStyle w:val="ListParagraph"/>
        <w:numPr>
          <w:ilvl w:val="0"/>
          <w:numId w:val="6"/>
        </w:numPr>
        <w:spacing w:after="80"/>
      </w:pPr>
      <w:r>
        <w:rPr>
          <w:b/>
          <w:bCs/>
        </w:rPr>
        <w:t xml:space="preserve">Latest year per count point.</w:t>
      </w:r>
      <w:r>
        <w:t xml:space="preserve"> Major roads are counted or estimated every year on every junction-to-junction link, so almost all are current (2025). Minor roads are only sampled, mostly in 2019 or earlier; the year is kept for the popup.</w:t>
      </w:r>
    </w:p>
    <w:p>
      <w:pPr>
        <w:pStyle w:val="ListParagraph"/>
        <w:numPr>
          <w:ilvl w:val="0"/>
          <w:numId w:val="6"/>
        </w:numPr>
        <w:spacing w:after="80"/>
      </w:pPr>
      <w:r>
        <w:rPr>
          <w:b/>
          <w:bCs/>
        </w:rPr>
        <w:t xml:space="preserve">Assign major-road flows by road number.</w:t>
      </w:r>
      <w:r>
        <w:t xml:space="preserve"> For each OS motorway and A-road link, take the flow of the nearest count point with the same road number, measured from the link’s midpoint. Nearest-point assignment splits a road halfway between count points, which lands close to the junctions where the flow actually changes.</w:t>
      </w:r>
    </w:p>
    <w:p>
      <w:pPr>
        <w:pStyle w:val="ListParagraph"/>
        <w:numPr>
          <w:ilvl w:val="0"/>
          <w:numId w:val="6"/>
        </w:numPr>
        <w:spacing w:after="80"/>
      </w:pPr>
      <w:r>
        <w:rPr>
          <w:b/>
          <w:bCs/>
        </w:rPr>
        <w:t xml:space="preserve">Exclude junction-internal points.</w:t>
      </w:r>
      <w:r>
        <w:t xml:space="preserve"> DfT gives the short links inside a junction (under 0.5 km) the mainline’s number at a fraction of its flow — M25 J26 has three at 6–10k beside a 150k mainline. Left in, they capture the mainline links next to them. Points more than three years older than the newest data are excluded for the same reason.</w:t>
      </w:r>
    </w:p>
    <w:p>
      <w:pPr>
        <w:pStyle w:val="ListParagraph"/>
        <w:numPr>
          <w:ilvl w:val="0"/>
          <w:numId w:val="6"/>
        </w:numPr>
        <w:spacing w:after="80"/>
      </w:pPr>
      <w:r>
        <w:rPr>
          <w:b/>
          <w:bCs/>
        </w:rPr>
        <w:t xml:space="preserve">Leave slip roads undrawn.</w:t>
      </w:r>
      <w:r>
        <w:t xml:space="preserve"> They carry the mainline’s number but not its flow, and DfT does not count them.</w:t>
      </w:r>
    </w:p>
    <w:p>
      <w:pPr>
        <w:pStyle w:val="ListParagraph"/>
        <w:numPr>
          <w:ilvl w:val="0"/>
          <w:numId w:val="6"/>
        </w:numPr>
        <w:spacing w:after="80"/>
      </w:pPr>
      <w:r>
        <w:rPr>
          <w:b/>
          <w:bCs/>
        </w:rPr>
        <w:t xml:space="preserve">B roads and minor roads.</w:t>
      </w:r>
      <w:r>
        <w:t xml:space="preserve"> B roads use the same rule with a shorter reach. A minor-road sample count colours only the OS link it sits on (within 25 m), not the whole street network.</w:t>
      </w:r>
    </w:p>
    <w:p>
      <w:pPr>
        <w:pStyle w:val="ListParagraph"/>
        <w:numPr>
          <w:ilvl w:val="0"/>
          <w:numId w:val="6"/>
        </w:numPr>
        <w:spacing w:after="80"/>
      </w:pPr>
      <w:r>
        <w:rPr>
          <w:b/>
          <w:bCs/>
        </w:rPr>
        <w:t xml:space="preserve">Busiest junctions.</w:t>
      </w:r>
      <w:r>
        <w:t xml:space="preserve"> Take OS nodes where three or more counted links meet and at least two different road numbers are involved. Vehicles through the junction ≈ the sum of the incident links’ flows ÷ 2, because every vehicle enters and leaves.</w:t>
      </w:r>
    </w:p>
    <w:p>
      <w:pPr>
        <w:pStyle w:val="ListParagraph"/>
        <w:numPr>
          <w:ilvl w:val="0"/>
          <w:numId w:val="6"/>
        </w:numPr>
        <w:spacing w:after="80"/>
      </w:pPr>
      <w:r>
        <w:rPr>
          <w:b/>
          <w:bCs/>
        </w:rPr>
        <w:t xml:space="preserve">Count points</w:t>
      </w:r>
      <w:r>
        <w:t xml:space="preserve"> are kept as their own layer so a popup can show the figure, year, whether it was counted or estimated, and the bounding junctions.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26"/>
      </w:tblGrid>
      <w:tr>
        <w:trPr>
          <w:tblHeader/>
        </w:trPr>
        <w:tc>
          <w:tcPr>
            <w:tcW w:type="dxa" w:w="3200"/>
            <w:tcBorders>
              <w:top w:val="single" w:color="CED4DA" w:sz="4"/>
              <w:left w:val="single" w:color="CED4DA" w:sz="4"/>
              <w:bottom w:val="single" w:color="CED4DA" w:sz="4"/>
              <w:right w:val="single" w:color="CED4DA" w:sz="4"/>
            </w:tcBorders>
            <w:shd w:fill="E9ECEF" w:val="clear"/>
            <w:tcMar>
              <w:top w:type="dxa" w:w="60"/>
              <w:left w:type="dxa" w:w="100"/>
              <w:bottom w:type="dxa" w:w="60"/>
              <w:right w:type="dxa" w:w="100"/>
            </w:tcMar>
          </w:tcPr>
          <w:p>
            <w:r>
              <w:rPr>
                <w:b/>
                <w:bCs/>
              </w:rPr>
              <w:t xml:space="preserve">Parameter</w:t>
            </w:r>
          </w:p>
        </w:tc>
        <w:tc>
          <w:tcPr>
            <w:tcW w:type="dxa" w:w="1600"/>
            <w:tcBorders>
              <w:top w:val="single" w:color="CED4DA" w:sz="4"/>
              <w:left w:val="single" w:color="CED4DA" w:sz="4"/>
              <w:bottom w:val="single" w:color="CED4DA" w:sz="4"/>
              <w:right w:val="single" w:color="CED4DA" w:sz="4"/>
            </w:tcBorders>
            <w:shd w:fill="E9ECEF" w:val="clear"/>
            <w:tcMar>
              <w:top w:type="dxa" w:w="60"/>
              <w:left w:type="dxa" w:w="100"/>
              <w:bottom w:type="dxa" w:w="60"/>
              <w:right w:type="dxa" w:w="100"/>
            </w:tcMar>
          </w:tcPr>
          <w:p>
            <w:r>
              <w:rPr>
                <w:b/>
                <w:bCs/>
              </w:rPr>
              <w:t xml:space="preserve">Value</w:t>
            </w:r>
          </w:p>
        </w:tc>
        <w:tc>
          <w:tcPr>
            <w:tcW w:type="dxa" w:w="4226"/>
            <w:tcBorders>
              <w:top w:val="single" w:color="CED4DA" w:sz="4"/>
              <w:left w:val="single" w:color="CED4DA" w:sz="4"/>
              <w:bottom w:val="single" w:color="CED4DA" w:sz="4"/>
              <w:right w:val="single" w:color="CED4DA" w:sz="4"/>
            </w:tcBorders>
            <w:shd w:fill="E9ECEF" w:val="clear"/>
            <w:tcMar>
              <w:top w:type="dxa" w:w="60"/>
              <w:left w:type="dxa" w:w="100"/>
              <w:bottom w:type="dxa" w:w="60"/>
              <w:right w:type="dxa" w:w="100"/>
            </w:tcMar>
          </w:tcPr>
          <w:p>
            <w:r>
              <w:rPr>
                <w:b/>
                <w:bCs/>
              </w:rPr>
              <w:t xml:space="preserve">Why</w:t>
            </w:r>
          </w:p>
        </w:tc>
      </w:tr>
      <w:tr>
        <w:trPr>
          <w:tblHeader w:val="off"/>
        </w:trPr>
        <w:tc>
          <w:tcPr>
            <w:tcW w:type="dxa" w:w="32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Reach, motorway</w:t>
            </w:r>
          </w:p>
        </w:tc>
        <w:tc>
          <w:tcPr>
            <w:tcW w:type="dxa" w:w="16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4 km</w:t>
            </w:r>
          </w:p>
        </w:tc>
        <w:tc>
          <w:tcPr>
            <w:tcW w:type="dxa" w:w="4226"/>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Long motorway links between junctions</w:t>
            </w:r>
          </w:p>
        </w:tc>
      </w:tr>
      <w:tr>
        <w:trPr>
          <w:tblHeader w:val="off"/>
        </w:trPr>
        <w:tc>
          <w:tcPr>
            <w:tcW w:type="dxa" w:w="32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Reach, A road</w:t>
            </w:r>
          </w:p>
        </w:tc>
        <w:tc>
          <w:tcPr>
            <w:tcW w:type="dxa" w:w="16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3 km</w:t>
            </w:r>
          </w:p>
        </w:tc>
        <w:tc>
          <w:tcPr>
            <w:tcW w:type="dxa" w:w="4226"/>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Typical A-road link length</w:t>
            </w:r>
          </w:p>
        </w:tc>
      </w:tr>
      <w:tr>
        <w:trPr>
          <w:tblHeader w:val="off"/>
        </w:trPr>
        <w:tc>
          <w:tcPr>
            <w:tcW w:type="dxa" w:w="32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Reach, B road</w:t>
            </w:r>
          </w:p>
        </w:tc>
        <w:tc>
          <w:tcPr>
            <w:tcW w:type="dxa" w:w="16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1.5 km</w:t>
            </w:r>
          </w:p>
        </w:tc>
        <w:tc>
          <w:tcPr>
            <w:tcW w:type="dxa" w:w="4226"/>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B roads are sampled, not fully counted</w:t>
            </w:r>
          </w:p>
        </w:tc>
      </w:tr>
      <w:tr>
        <w:trPr>
          <w:tblHeader w:val="off"/>
        </w:trPr>
        <w:tc>
          <w:tcPr>
            <w:tcW w:type="dxa" w:w="32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Minor-road snap</w:t>
            </w:r>
          </w:p>
        </w:tc>
        <w:tc>
          <w:tcPr>
            <w:tcW w:type="dxa" w:w="16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25 m</w:t>
            </w:r>
          </w:p>
        </w:tc>
        <w:tc>
          <w:tcPr>
            <w:tcW w:type="dxa" w:w="4226"/>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Light only the link the count sits on</w:t>
            </w:r>
          </w:p>
        </w:tc>
      </w:tr>
      <w:tr>
        <w:trPr>
          <w:tblHeader w:val="off"/>
        </w:trPr>
        <w:tc>
          <w:tcPr>
            <w:tcW w:type="dxa" w:w="32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Junction-point cut-off</w:t>
            </w:r>
          </w:p>
        </w:tc>
        <w:tc>
          <w:tcPr>
            <w:tcW w:type="dxa" w:w="16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link &lt; 0.5 km</w:t>
            </w:r>
          </w:p>
        </w:tc>
        <w:tc>
          <w:tcPr>
            <w:tcW w:type="dxa" w:w="4226"/>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Slip-to-roundabout links inside junctions</w:t>
            </w:r>
          </w:p>
        </w:tc>
      </w:tr>
    </w:tbl>
    <w:p>
      <w:pPr>
        <w:spacing w:after="120" w:before="120"/>
      </w:pPr>
      <w:r>
        <w:rPr>
          <w:b/>
          <w:bCs/>
        </w:rPr>
        <w:t xml:space="preserve">Checks (London square):</w:t>
      </w:r>
      <w:r>
        <w:t xml:space="preserve"> 98% of A-road links matched a count; M25 links range from 25.5k to 213k vehicles a day, matching DfT’s published link figures.</w:t>
      </w:r>
    </w:p>
    <w:p>
      <w:pPr>
        <w:pStyle w:val="Heading1"/>
      </w:pPr>
      <w:r>
        <w:t xml:space="preserve">5. Rail usage (for completeness)</w:t>
      </w:r>
    </w:p>
    <w:p>
      <w:pPr>
        <w:spacing w:after="120"/>
      </w:pPr>
      <w:r>
        <w:t xml:space="preserve">The rail layer uses the same idea with the National Rail timetable (CIF format): for one Tuesday, keep one schedule per train by the timetable’s own precedence (a cancellation beats a new schedule, which beats an overlay, which beats the permanent timetable), passenger trains only. Count trains over every consecutive pair of stations, </w:t>
      </w:r>
      <w:r>
        <w:rPr>
          <w:b/>
          <w:bCs/>
        </w:rPr>
        <w:t xml:space="preserve">including stations passed without stopping</w:t>
      </w:r>
      <w:r>
        <w:t xml:space="preserve">, so a fast line is loaded with its fast trains. Each pair is then routed along OpenStreetMap track, simplified to a junction-to-junction graph, and its trains added to every section it uses.</w:t>
      </w:r>
    </w:p>
    <w:p>
      <w:pPr>
        <w:pStyle w:val="Heading1"/>
      </w:pPr>
      <w:r>
        <w:t xml:space="preserve">6. Tiling and serving</w:t>
      </w:r>
    </w:p>
    <w:p>
      <w:pPr>
        <w:spacing w:after="120"/>
      </w:pPr>
      <w:r>
        <w:t xml:space="preserve">Each GeoJSON file becomes one PMTiles file:</w:t>
      </w:r>
    </w:p>
    <w:p>
      <w:pPr>
        <w:shd w:fill="F1F3F5" w:val="clear"/>
        <w:spacing w:after="0"/>
        <w:ind w:left="120" w:right="120"/>
      </w:pPr>
      <w:r>
        <w:rPr>
          <w:rFonts w:ascii="Consolas" w:cs="Consolas" w:eastAsia="Consolas" w:hAnsi="Consolas"/>
          <w:sz w:val="18"/>
          <w:szCs w:val="18"/>
        </w:rPr>
        <w:t xml:space="preserve">tippecanoe -o bus_network.pmtiles -Z6 -z14 \</w:t>
      </w:r>
    </w:p>
    <w:p>
      <w:pPr>
        <w:shd w:fill="F1F3F5" w:val="clear"/>
        <w:spacing w:after="0"/>
        <w:ind w:left="120" w:right="120"/>
      </w:pPr>
      <w:r>
        <w:rPr>
          <w:rFonts w:ascii="Consolas" w:cs="Consolas" w:eastAsia="Consolas" w:hAnsi="Consolas"/>
          <w:sz w:val="18"/>
          <w:szCs w:val="18"/>
        </w:rPr>
        <w:t xml:space="preserve">  -j "$(python pipeline/tile_zoom_filter.py 6 14)" \</w:t>
      </w:r>
    </w:p>
    <w:p>
      <w:pPr>
        <w:shd w:fill="F1F3F5" w:val="clear"/>
        <w:spacing w:after="0"/>
        <w:ind w:left="120" w:right="120"/>
      </w:pPr>
      <w:r>
        <w:rPr>
          <w:rFonts w:ascii="Consolas" w:cs="Consolas" w:eastAsia="Consolas" w:hAnsi="Consolas"/>
          <w:sz w:val="18"/>
          <w:szCs w:val="18"/>
        </w:rPr>
        <w:t xml:space="preserve">  --coalesce --reorder --hilbert \</w:t>
      </w:r>
    </w:p>
    <w:p>
      <w:pPr>
        <w:shd w:fill="F1F3F5" w:val="clear"/>
        <w:spacing w:after="0"/>
        <w:ind w:left="120" w:right="120"/>
      </w:pPr>
      <w:r>
        <w:rPr>
          <w:rFonts w:ascii="Consolas" w:cs="Consolas" w:eastAsia="Consolas" w:hAnsi="Consolas"/>
          <w:sz w:val="18"/>
          <w:szCs w:val="18"/>
        </w:rPr>
        <w:t xml:space="preserve">  --drop-densest-as-needed --extend-zooms-if-still-dropping \</w:t>
      </w:r>
    </w:p>
    <w:p>
      <w:pPr>
        <w:shd w:fill="F1F3F5" w:val="clear"/>
        <w:spacing w:after="160"/>
        <w:ind w:left="120" w:right="120"/>
      </w:pPr>
      <w:r>
        <w:rPr>
          <w:rFonts w:ascii="Consolas" w:cs="Consolas" w:eastAsia="Consolas" w:hAnsi="Consolas"/>
          <w:sz w:val="18"/>
          <w:szCs w:val="18"/>
        </w:rPr>
        <w:t xml:space="preserve">  --force data/raw/bus_network.geojsonl</w:t>
      </w:r>
    </w:p>
    <w:p>
      <w:pPr>
        <w:spacing w:after="120"/>
      </w:pPr>
      <w:r>
        <w:rPr>
          <w:rFonts w:ascii="Consolas" w:cs="Consolas" w:eastAsia="Consolas" w:hAnsi="Consolas"/>
          <w:sz w:val="19"/>
          <w:szCs w:val="19"/>
        </w:rPr>
        <w:t xml:space="preserve">--coalesce</w:t>
      </w:r>
      <w:r>
        <w:t xml:space="preserve"> merges adjacent pieces with identical values into one feature, which is what keeps a national road layer small at wide zooms. The file is uploaded to a public storage bucket; the map reads only the bytes it needs over HTTP range requests, so the database carries no load per view.</w:t>
      </w:r>
    </w:p>
    <w:p>
      <w:pPr>
        <w:spacing w:after="120"/>
      </w:pPr>
      <w:r>
        <w:rPr>
          <w:b/>
          <w:bCs/>
        </w:rPr>
        <w:t xml:space="preserve">Known issue with tippecanoe 2.49</w:t>
      </w:r>
      <w:r>
        <w:t xml:space="preserve"> (the version in Ubuntu’s package archive): when features carry their own </w:t>
      </w:r>
      <w:r>
        <w:rPr>
          <w:rFonts w:ascii="Consolas" w:cs="Consolas" w:eastAsia="Consolas" w:hAnsi="Consolas"/>
          <w:sz w:val="19"/>
          <w:szCs w:val="19"/>
        </w:rPr>
        <w:t xml:space="preserve">{"tippecanoe": {"minzoom": n}}</w:t>
      </w:r>
      <w:r>
        <w:t xml:space="preserve">, each tile keeps only one feature per layer — 895 road links in a central-London tile without it, one with it. The workaround is to put the minimum zoom in an ordinary property (</w:t>
      </w:r>
      <w:r>
        <w:rPr>
          <w:rFonts w:ascii="Consolas" w:cs="Consolas" w:eastAsia="Consolas" w:hAnsi="Consolas"/>
          <w:sz w:val="19"/>
          <w:szCs w:val="19"/>
        </w:rPr>
        <w:t xml:space="preserve">mz</w:t>
      </w:r>
      <w:r>
        <w:t xml:space="preserve">) and pass a feature filter that, at zoom Z, keeps features with </w:t>
      </w:r>
      <w:r>
        <w:rPr>
          <w:rFonts w:ascii="Consolas" w:cs="Consolas" w:eastAsia="Consolas" w:hAnsi="Consolas"/>
          <w:sz w:val="19"/>
          <w:szCs w:val="19"/>
        </w:rPr>
        <w:t xml:space="preserve">mz ≤ Z</w:t>
      </w:r>
      <w:r>
        <w:t xml:space="preserve">:</w:t>
      </w:r>
    </w:p>
    <w:p>
      <w:pPr>
        <w:shd w:fill="F1F3F5" w:val="clear"/>
        <w:spacing w:after="0"/>
        <w:ind w:left="120" w:right="120"/>
      </w:pPr>
      <w:r>
        <w:rPr>
          <w:rFonts w:ascii="Consolas" w:cs="Consolas" w:eastAsia="Consolas" w:hAnsi="Consolas"/>
          <w:sz w:val="18"/>
          <w:szCs w:val="18"/>
        </w:rPr>
        <w:t xml:space="preserve">{"*": ["any",</w:t>
      </w:r>
    </w:p>
    <w:p>
      <w:pPr>
        <w:shd w:fill="F1F3F5" w:val="clear"/>
        <w:spacing w:after="0"/>
        <w:ind w:left="120" w:right="120"/>
      </w:pPr>
      <w:r>
        <w:rPr>
          <w:rFonts w:ascii="Consolas" w:cs="Consolas" w:eastAsia="Consolas" w:hAnsi="Consolas"/>
          <w:sz w:val="18"/>
          <w:szCs w:val="18"/>
        </w:rPr>
        <w:t xml:space="preserve">  ["all", ["==", "$zoom", 6], ["&lt;=", "mz", 6]],</w:t>
      </w:r>
    </w:p>
    <w:p>
      <w:pPr>
        <w:shd w:fill="F1F3F5" w:val="clear"/>
        <w:spacing w:after="0"/>
        <w:ind w:left="120" w:right="120"/>
      </w:pPr>
      <w:r>
        <w:rPr>
          <w:rFonts w:ascii="Consolas" w:cs="Consolas" w:eastAsia="Consolas" w:hAnsi="Consolas"/>
          <w:sz w:val="18"/>
          <w:szCs w:val="18"/>
        </w:rPr>
        <w:t xml:space="preserve">  ["all", ["==", "$zoom", 7], ["&lt;=", "mz", 7]],</w:t>
      </w:r>
    </w:p>
    <w:p>
      <w:pPr>
        <w:shd w:fill="F1F3F5" w:val="clear"/>
        <w:spacing w:after="160"/>
        <w:ind w:left="120" w:right="120"/>
      </w:pPr>
      <w:r>
        <w:rPr>
          <w:rFonts w:ascii="Consolas" w:cs="Consolas" w:eastAsia="Consolas" w:hAnsi="Consolas"/>
          <w:sz w:val="18"/>
          <w:szCs w:val="18"/>
        </w:rPr>
        <w:t xml:space="preserve">  ...one clause per zoom... ]}</w:t>
      </w:r>
    </w:p>
    <w:p>
      <w:pPr>
        <w:pStyle w:val="Heading1"/>
      </w:pPr>
      <w:r>
        <w:t xml:space="preserve">7. Styling</w:t>
      </w:r>
    </w:p>
    <w:p>
      <w:pPr>
        <w:pStyle w:val="Heading2"/>
      </w:pPr>
      <w:r>
        <w:t xml:space="preserve">One cold-to-hot ramp</w:t>
      </w:r>
    </w:p>
    <w:p>
      <w:pPr>
        <w:spacing w:after="120"/>
      </w:pPr>
      <w:r>
        <w:t xml:space="preserve">All the traffic and service layers share one ramp so a busy road, a busy line and a busy bus corridor read the same way side by side. It is saturated throughout, so the pale middle of a classic diverging ramp never washes out on a light basemap: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942"/>
        <w:gridCol w:w="1942"/>
        <w:gridCol w:w="1942"/>
      </w:tblGrid>
      <w:tr>
        <w:trPr>
          <w:tblHeader/>
        </w:trPr>
        <w:tc>
          <w:tcPr>
            <w:tcW w:type="dxa" w:w="1400"/>
            <w:tcBorders>
              <w:top w:val="single" w:color="CED4DA" w:sz="4"/>
              <w:left w:val="single" w:color="CED4DA" w:sz="4"/>
              <w:bottom w:val="single" w:color="CED4DA" w:sz="4"/>
              <w:right w:val="single" w:color="CED4DA" w:sz="4"/>
            </w:tcBorders>
            <w:shd w:fill="E9ECEF" w:val="clear"/>
            <w:tcMar>
              <w:top w:type="dxa" w:w="60"/>
              <w:left w:type="dxa" w:w="100"/>
              <w:bottom w:type="dxa" w:w="60"/>
              <w:right w:type="dxa" w:w="100"/>
            </w:tcMar>
          </w:tcPr>
          <w:p/>
        </w:tc>
        <w:tc>
          <w:tcPr>
            <w:tcW w:type="dxa" w:w="1800"/>
            <w:tcBorders>
              <w:top w:val="single" w:color="CED4DA" w:sz="4"/>
              <w:left w:val="single" w:color="CED4DA" w:sz="4"/>
              <w:bottom w:val="single" w:color="CED4DA" w:sz="4"/>
              <w:right w:val="single" w:color="CED4DA" w:sz="4"/>
            </w:tcBorders>
            <w:shd w:fill="E9ECEF" w:val="clear"/>
            <w:tcMar>
              <w:top w:type="dxa" w:w="60"/>
              <w:left w:type="dxa" w:w="100"/>
              <w:bottom w:type="dxa" w:w="60"/>
              <w:right w:type="dxa" w:w="100"/>
            </w:tcMar>
          </w:tcPr>
          <w:p>
            <w:r>
              <w:rPr>
                <w:b/>
                <w:bCs/>
              </w:rPr>
              <w:t xml:space="preserve">Colour</w:t>
            </w:r>
          </w:p>
        </w:tc>
        <w:tc>
          <w:tcPr>
            <w:tcW w:type="dxa" w:w="1942"/>
            <w:tcBorders>
              <w:top w:val="single" w:color="CED4DA" w:sz="4"/>
              <w:left w:val="single" w:color="CED4DA" w:sz="4"/>
              <w:bottom w:val="single" w:color="CED4DA" w:sz="4"/>
              <w:right w:val="single" w:color="CED4DA" w:sz="4"/>
            </w:tcBorders>
            <w:shd w:fill="E9ECEF" w:val="clear"/>
            <w:tcMar>
              <w:top w:type="dxa" w:w="60"/>
              <w:left w:type="dxa" w:w="100"/>
              <w:bottom w:type="dxa" w:w="60"/>
              <w:right w:type="dxa" w:w="100"/>
            </w:tcMar>
          </w:tcPr>
          <w:p>
            <w:r>
              <w:rPr>
                <w:b/>
                <w:bCs/>
              </w:rPr>
              <w:t xml:space="preserve">Road (vehicles/day)</w:t>
            </w:r>
          </w:p>
        </w:tc>
        <w:tc>
          <w:tcPr>
            <w:tcW w:type="dxa" w:w="1942"/>
            <w:tcBorders>
              <w:top w:val="single" w:color="CED4DA" w:sz="4"/>
              <w:left w:val="single" w:color="CED4DA" w:sz="4"/>
              <w:bottom w:val="single" w:color="CED4DA" w:sz="4"/>
              <w:right w:val="single" w:color="CED4DA" w:sz="4"/>
            </w:tcBorders>
            <w:shd w:fill="E9ECEF" w:val="clear"/>
            <w:tcMar>
              <w:top w:type="dxa" w:w="60"/>
              <w:left w:type="dxa" w:w="100"/>
              <w:bottom w:type="dxa" w:w="60"/>
              <w:right w:type="dxa" w:w="100"/>
            </w:tcMar>
          </w:tcPr>
          <w:p>
            <w:r>
              <w:rPr>
                <w:b/>
                <w:bCs/>
              </w:rPr>
              <w:t xml:space="preserve">Bus (journeys/day)</w:t>
            </w:r>
          </w:p>
        </w:tc>
        <w:tc>
          <w:tcPr>
            <w:tcW w:type="dxa" w:w="1942"/>
            <w:tcBorders>
              <w:top w:val="single" w:color="CED4DA" w:sz="4"/>
              <w:left w:val="single" w:color="CED4DA" w:sz="4"/>
              <w:bottom w:val="single" w:color="CED4DA" w:sz="4"/>
              <w:right w:val="single" w:color="CED4DA" w:sz="4"/>
            </w:tcBorders>
            <w:shd w:fill="E9ECEF" w:val="clear"/>
            <w:tcMar>
              <w:top w:type="dxa" w:w="60"/>
              <w:left w:type="dxa" w:w="100"/>
              <w:bottom w:type="dxa" w:w="60"/>
              <w:right w:type="dxa" w:w="100"/>
            </w:tcMar>
          </w:tcPr>
          <w:p>
            <w:r>
              <w:rPr>
                <w:b/>
                <w:bCs/>
              </w:rPr>
              <w:t xml:space="preserve">Rail (trains/day)</w:t>
            </w:r>
          </w:p>
        </w:tc>
      </w:tr>
      <w:tr>
        <w:trPr>
          <w:tblHeader w:val="off"/>
        </w:trPr>
        <w:tc>
          <w:tcPr>
            <w:tcW w:type="dxa" w:w="1400"/>
            <w:tcBorders>
              <w:top w:val="single" w:color="CED4DA" w:sz="4"/>
              <w:left w:val="single" w:color="CED4DA" w:sz="4"/>
              <w:bottom w:val="single" w:color="CED4DA" w:sz="4"/>
              <w:right w:val="single" w:color="CED4DA" w:sz="4"/>
            </w:tcBorders>
            <w:shd w:fill="3A53A4" w:val="clear"/>
            <w:tcMar>
              <w:top w:type="dxa" w:w="60"/>
              <w:left w:type="dxa" w:w="100"/>
              <w:bottom w:type="dxa" w:w="60"/>
              <w:right w:type="dxa" w:w="100"/>
            </w:tcMar>
          </w:tcPr>
          <w:p/>
        </w:tc>
        <w:tc>
          <w:tcPr>
            <w:tcW w:type="dxa" w:w="18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#3a53a4</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0</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0</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0</w:t>
            </w:r>
          </w:p>
        </w:tc>
      </w:tr>
      <w:tr>
        <w:trPr>
          <w:tblHeader w:val="off"/>
        </w:trPr>
        <w:tc>
          <w:tcPr>
            <w:tcW w:type="dxa" w:w="1400"/>
            <w:tcBorders>
              <w:top w:val="single" w:color="CED4DA" w:sz="4"/>
              <w:left w:val="single" w:color="CED4DA" w:sz="4"/>
              <w:bottom w:val="single" w:color="CED4DA" w:sz="4"/>
              <w:right w:val="single" w:color="CED4DA" w:sz="4"/>
            </w:tcBorders>
            <w:shd w:fill="2B8CBE" w:val="clear"/>
            <w:tcMar>
              <w:top w:type="dxa" w:w="60"/>
              <w:left w:type="dxa" w:w="100"/>
              <w:bottom w:type="dxa" w:w="60"/>
              <w:right w:type="dxa" w:w="100"/>
            </w:tcMar>
          </w:tcPr>
          <w:p/>
        </w:tc>
        <w:tc>
          <w:tcPr>
            <w:tcW w:type="dxa" w:w="18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#2b8cbe</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5,000</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20</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25</w:t>
            </w:r>
          </w:p>
        </w:tc>
      </w:tr>
      <w:tr>
        <w:trPr>
          <w:tblHeader w:val="off"/>
        </w:trPr>
        <w:tc>
          <w:tcPr>
            <w:tcW w:type="dxa" w:w="1400"/>
            <w:tcBorders>
              <w:top w:val="single" w:color="CED4DA" w:sz="4"/>
              <w:left w:val="single" w:color="CED4DA" w:sz="4"/>
              <w:bottom w:val="single" w:color="CED4DA" w:sz="4"/>
              <w:right w:val="single" w:color="CED4DA" w:sz="4"/>
            </w:tcBorders>
            <w:shd w:fill="1FB3B0" w:val="clear"/>
            <w:tcMar>
              <w:top w:type="dxa" w:w="60"/>
              <w:left w:type="dxa" w:w="100"/>
              <w:bottom w:type="dxa" w:w="60"/>
              <w:right w:type="dxa" w:w="100"/>
            </w:tcMar>
          </w:tcPr>
          <w:p/>
        </w:tc>
        <w:tc>
          <w:tcPr>
            <w:tcW w:type="dxa" w:w="18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#1fb3b0</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15,000</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60</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75</w:t>
            </w:r>
          </w:p>
        </w:tc>
      </w:tr>
      <w:tr>
        <w:trPr>
          <w:tblHeader w:val="off"/>
        </w:trPr>
        <w:tc>
          <w:tcPr>
            <w:tcW w:type="dxa" w:w="1400"/>
            <w:tcBorders>
              <w:top w:val="single" w:color="CED4DA" w:sz="4"/>
              <w:left w:val="single" w:color="CED4DA" w:sz="4"/>
              <w:bottom w:val="single" w:color="CED4DA" w:sz="4"/>
              <w:right w:val="single" w:color="CED4DA" w:sz="4"/>
            </w:tcBorders>
            <w:shd w:fill="F2C12E" w:val="clear"/>
            <w:tcMar>
              <w:top w:type="dxa" w:w="60"/>
              <w:left w:type="dxa" w:w="100"/>
              <w:bottom w:type="dxa" w:w="60"/>
              <w:right w:type="dxa" w:w="100"/>
            </w:tcMar>
          </w:tcPr>
          <w:p/>
        </w:tc>
        <w:tc>
          <w:tcPr>
            <w:tcW w:type="dxa" w:w="18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#f2c12e</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30,000</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150</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150</w:t>
            </w:r>
          </w:p>
        </w:tc>
      </w:tr>
      <w:tr>
        <w:trPr>
          <w:tblHeader w:val="off"/>
        </w:trPr>
        <w:tc>
          <w:tcPr>
            <w:tcW w:type="dxa" w:w="1400"/>
            <w:tcBorders>
              <w:top w:val="single" w:color="CED4DA" w:sz="4"/>
              <w:left w:val="single" w:color="CED4DA" w:sz="4"/>
              <w:bottom w:val="single" w:color="CED4DA" w:sz="4"/>
              <w:right w:val="single" w:color="CED4DA" w:sz="4"/>
            </w:tcBorders>
            <w:shd w:fill="F58B2E" w:val="clear"/>
            <w:tcMar>
              <w:top w:type="dxa" w:w="60"/>
              <w:left w:type="dxa" w:w="100"/>
              <w:bottom w:type="dxa" w:w="60"/>
              <w:right w:type="dxa" w:w="100"/>
            </w:tcMar>
          </w:tcPr>
          <w:p/>
        </w:tc>
        <w:tc>
          <w:tcPr>
            <w:tcW w:type="dxa" w:w="18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#f58b2e</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60,000</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300</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300</w:t>
            </w:r>
          </w:p>
        </w:tc>
      </w:tr>
      <w:tr>
        <w:trPr>
          <w:tblHeader w:val="off"/>
        </w:trPr>
        <w:tc>
          <w:tcPr>
            <w:tcW w:type="dxa" w:w="1400"/>
            <w:tcBorders>
              <w:top w:val="single" w:color="CED4DA" w:sz="4"/>
              <w:left w:val="single" w:color="CED4DA" w:sz="4"/>
              <w:bottom w:val="single" w:color="CED4DA" w:sz="4"/>
              <w:right w:val="single" w:color="CED4DA" w:sz="4"/>
            </w:tcBorders>
            <w:shd w:fill="E8432D" w:val="clear"/>
            <w:tcMar>
              <w:top w:type="dxa" w:w="60"/>
              <w:left w:type="dxa" w:w="100"/>
              <w:bottom w:type="dxa" w:w="60"/>
              <w:right w:type="dxa" w:w="100"/>
            </w:tcMar>
          </w:tcPr>
          <w:p/>
        </w:tc>
        <w:tc>
          <w:tcPr>
            <w:tcW w:type="dxa" w:w="18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#e8432d</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100,000</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600</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600</w:t>
            </w:r>
          </w:p>
        </w:tc>
      </w:tr>
      <w:tr>
        <w:trPr>
          <w:tblHeader w:val="off"/>
        </w:trPr>
        <w:tc>
          <w:tcPr>
            <w:tcW w:type="dxa" w:w="1400"/>
            <w:tcBorders>
              <w:top w:val="single" w:color="CED4DA" w:sz="4"/>
              <w:left w:val="single" w:color="CED4DA" w:sz="4"/>
              <w:bottom w:val="single" w:color="CED4DA" w:sz="4"/>
              <w:right w:val="single" w:color="CED4DA" w:sz="4"/>
            </w:tcBorders>
            <w:shd w:fill="A8132B" w:val="clear"/>
            <w:tcMar>
              <w:top w:type="dxa" w:w="60"/>
              <w:left w:type="dxa" w:w="100"/>
              <w:bottom w:type="dxa" w:w="60"/>
              <w:right w:type="dxa" w:w="100"/>
            </w:tcMar>
          </w:tcPr>
          <w:p/>
        </w:tc>
        <w:tc>
          <w:tcPr>
            <w:tcW w:type="dxa" w:w="1800"/>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#a8132b</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150,000+</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1,000+</w:t>
            </w:r>
          </w:p>
        </w:tc>
        <w:tc>
          <w:tcPr>
            <w:tcW w:type="dxa" w:w="1942"/>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1,000+</w:t>
            </w:r>
          </w:p>
        </w:tc>
      </w:tr>
    </w:tbl>
    <w:p>
      <w:pPr>
        <w:spacing w:after="120" w:before="120"/>
      </w:pPr>
      <w:r>
        <w:t xml:space="preserve">Colours are interpolated linearly between the breaks.</w:t>
      </w:r>
    </w:p>
    <w:p>
      <w:pPr>
        <w:pStyle w:val="Heading2"/>
      </w:pPr>
      <w:r>
        <w:t xml:space="preserve">Width and draw order</w:t>
      </w:r>
    </w:p>
    <w:p>
      <w:pPr>
        <w:spacing w:after="120"/>
      </w:pPr>
      <w:r>
        <w:t xml:space="preserve">Line width grows with both the value and the zoom. MapLibre requires the zoom interpolation to be the outer expression, so the value interpolation sits inside it:</w:t>
      </w:r>
    </w:p>
    <w:p>
      <w:pPr>
        <w:shd w:fill="F1F3F5" w:val="clear"/>
        <w:spacing w:after="0"/>
        <w:ind w:left="120" w:right="120"/>
      </w:pPr>
      <w:r>
        <w:rPr>
          <w:rFonts w:ascii="Consolas" w:cs="Consolas" w:eastAsia="Consolas" w:hAnsi="Consolas"/>
          <w:sz w:val="18"/>
          <w:szCs w:val="18"/>
        </w:rPr>
        <w:t xml:space="preserve">["interpolate", ["linear"], ["zoom"],</w:t>
      </w:r>
    </w:p>
    <w:p>
      <w:pPr>
        <w:shd w:fill="F1F3F5" w:val="clear"/>
        <w:spacing w:after="0"/>
        <w:ind w:left="120" w:right="120"/>
      </w:pPr>
      <w:r>
        <w:rPr>
          <w:rFonts w:ascii="Consolas" w:cs="Consolas" w:eastAsia="Consolas" w:hAnsi="Consolas"/>
          <w:sz w:val="18"/>
          <w:szCs w:val="18"/>
        </w:rPr>
        <w:t xml:space="preserve">   6, ["interpolate", ["linear"], ["get", "trips"], 0, 0.5, 1200, 2.5],</w:t>
      </w:r>
    </w:p>
    <w:p>
      <w:pPr>
        <w:shd w:fill="F1F3F5" w:val="clear"/>
        <w:spacing w:after="0"/>
        <w:ind w:left="120" w:right="120"/>
      </w:pPr>
      <w:r>
        <w:rPr>
          <w:rFonts w:ascii="Consolas" w:cs="Consolas" w:eastAsia="Consolas" w:hAnsi="Consolas"/>
          <w:sz w:val="18"/>
          <w:szCs w:val="18"/>
        </w:rPr>
        <w:t xml:space="preserve">  10, ["interpolate", ["linear"], ["get", "trips"], 0, 1.0, 1200, 4.5],</w:t>
      </w:r>
    </w:p>
    <w:p>
      <w:pPr>
        <w:shd w:fill="F1F3F5" w:val="clear"/>
        <w:spacing w:after="160"/>
        <w:ind w:left="120" w:right="120"/>
      </w:pPr>
      <w:r>
        <w:rPr>
          <w:rFonts w:ascii="Consolas" w:cs="Consolas" w:eastAsia="Consolas" w:hAnsi="Consolas"/>
          <w:sz w:val="18"/>
          <w:szCs w:val="18"/>
        </w:rPr>
        <w:t xml:space="preserve">  14, ["interpolate", ["linear"], ["get", "trips"], 0, 1.5, 1200, 8.0]]</w:t>
      </w:r>
    </w:p>
    <w:p>
      <w:pPr>
        <w:spacing w:after="120"/>
      </w:pPr>
      <w:r>
        <w:t xml:space="preserve">Set </w:t>
      </w:r>
      <w:r>
        <w:rPr>
          <w:rFonts w:ascii="Consolas" w:cs="Consolas" w:eastAsia="Consolas" w:hAnsi="Consolas"/>
          <w:sz w:val="19"/>
          <w:szCs w:val="19"/>
        </w:rPr>
        <w:t xml:space="preserve">line-sort-key</w:t>
      </w:r>
      <w:r>
        <w:t xml:space="preserve"> (and </w:t>
      </w:r>
      <w:r>
        <w:rPr>
          <w:rFonts w:ascii="Consolas" w:cs="Consolas" w:eastAsia="Consolas" w:hAnsi="Consolas"/>
          <w:sz w:val="19"/>
          <w:szCs w:val="19"/>
        </w:rPr>
        <w:t xml:space="preserve">circle-sort-key</w:t>
      </w:r>
      <w:r>
        <w:t xml:space="preserve"> for stops and junctions) to the value, so the busiest features draw last and are never buried under quiet links at shared junctions. Round line caps and joins keep coalesced pieces looking continuous.</w:t>
      </w:r>
    </w:p>
    <w:p>
      <w:pPr>
        <w:pStyle w:val="Heading1"/>
      </w:pPr>
      <w:r>
        <w:t xml:space="preserve">8. Caveats</w:t>
      </w:r>
    </w:p>
    <w:p>
      <w:pPr>
        <w:pStyle w:val="ListParagraph"/>
        <w:numPr>
          <w:ilvl w:val="0"/>
          <w:numId w:val="5"/>
        </w:numPr>
        <w:spacing w:after="60"/>
      </w:pPr>
      <w:r>
        <w:rPr>
          <w:b/>
          <w:bCs/>
        </w:rPr>
        <w:t xml:space="preserve">Service, not passengers.</w:t>
      </w:r>
      <w:r>
        <w:t xml:space="preserve"> Bus and rail values are scheduled journeys. That is the standard proxy (PTAL is built on it); no open data gives boardings by stop or loadings by section across Great Britain.</w:t>
      </w:r>
    </w:p>
    <w:p>
      <w:pPr>
        <w:pStyle w:val="ListParagraph"/>
        <w:numPr>
          <w:ilvl w:val="0"/>
          <w:numId w:val="5"/>
        </w:numPr>
        <w:spacing w:after="60"/>
      </w:pPr>
      <w:r>
        <w:rPr>
          <w:b/>
          <w:bCs/>
        </w:rPr>
        <w:t xml:space="preserve">Road routing ignores restrictions.</w:t>
      </w:r>
      <w:r>
        <w:t xml:space="preserve"> Open Roads has no one-way or turn data, so a route can use a street the bus cannot. Over a single stop-to-stop hop the shortest road path is almost always the bus’s own, and the detour cap catches the rest.</w:t>
      </w:r>
    </w:p>
    <w:p>
      <w:pPr>
        <w:pStyle w:val="ListParagraph"/>
        <w:numPr>
          <w:ilvl w:val="0"/>
          <w:numId w:val="5"/>
        </w:numPr>
        <w:spacing w:after="60"/>
      </w:pPr>
      <w:r>
        <w:rPr>
          <w:b/>
          <w:bCs/>
        </w:rPr>
        <w:t xml:space="preserve">Road flows are split at midpoints</w:t>
      </w:r>
      <w:r>
        <w:t xml:space="preserve"> between count points, so a boundary can be up to half a link away from the junction it belongs at. At map scale this does not show.</w:t>
      </w:r>
    </w:p>
    <w:p>
      <w:pPr>
        <w:pStyle w:val="ListParagraph"/>
        <w:numPr>
          <w:ilvl w:val="0"/>
          <w:numId w:val="5"/>
        </w:numPr>
        <w:spacing w:after="60"/>
      </w:pPr>
      <w:r>
        <w:rPr>
          <w:b/>
          <w:bCs/>
        </w:rPr>
        <w:t xml:space="preserve">Minor roads are sparse.</w:t>
      </w:r>
      <w:r>
        <w:t xml:space="preserve"> Only sampled links are coloured, and their counts are often several years old.</w:t>
      </w:r>
    </w:p>
    <w:p>
      <w:pPr>
        <w:pStyle w:val="Heading1"/>
      </w:pPr>
      <w:r>
        <w:t xml:space="preserve">9. Reusing it</w:t>
      </w:r>
    </w:p>
    <w:p>
      <w:pPr>
        <w:spacing w:after="120"/>
      </w:pPr>
      <w:r>
        <w:t xml:space="preserve">The scripts are self-contained Python (numpy, shapely, pyproj, pyogrio, geopandas) and read their inputs from environment variables, so they can be copied to another project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ED4DA" w:sz="4"/>
              <w:left w:val="single" w:color="CED4DA" w:sz="4"/>
              <w:bottom w:val="single" w:color="CED4DA" w:sz="4"/>
              <w:right w:val="single" w:color="CED4DA" w:sz="4"/>
            </w:tcBorders>
            <w:shd w:fill="E9ECEF" w:val="clear"/>
            <w:tcMar>
              <w:top w:type="dxa" w:w="60"/>
              <w:left w:type="dxa" w:w="100"/>
              <w:bottom w:type="dxa" w:w="60"/>
              <w:right w:type="dxa" w:w="100"/>
            </w:tcMar>
          </w:tcPr>
          <w:p>
            <w:r>
              <w:rPr>
                <w:b/>
                <w:bCs/>
              </w:rPr>
              <w:t xml:space="preserve">File</w:t>
            </w:r>
          </w:p>
        </w:tc>
        <w:tc>
          <w:tcPr>
            <w:tcW w:type="dxa" w:w="5626"/>
            <w:tcBorders>
              <w:top w:val="single" w:color="CED4DA" w:sz="4"/>
              <w:left w:val="single" w:color="CED4DA" w:sz="4"/>
              <w:bottom w:val="single" w:color="CED4DA" w:sz="4"/>
              <w:right w:val="single" w:color="CED4DA" w:sz="4"/>
            </w:tcBorders>
            <w:shd w:fill="E9ECEF" w:val="clear"/>
            <w:tcMar>
              <w:top w:type="dxa" w:w="60"/>
              <w:left w:type="dxa" w:w="100"/>
              <w:bottom w:type="dxa" w:w="60"/>
              <w:right w:type="dxa" w:w="100"/>
            </w:tcMar>
          </w:tcPr>
          <w:p>
            <w:r>
              <w:rPr>
                <w:b/>
                <w:bCs/>
              </w:rPr>
              <w:t xml:space="preserve">Does</w:t>
            </w:r>
          </w:p>
        </w:tc>
      </w:tr>
      <w:tr>
        <w:trPr>
          <w:tblHeader w:val="off"/>
        </w:trPr>
        <w:tc>
          <w:tcPr>
            <w:tcW w:type="dxa" w:w="3400"/>
            <w:tcBorders>
              <w:top w:val="single" w:color="CED4DA" w:sz="4"/>
              <w:left w:val="single" w:color="CED4DA" w:sz="4"/>
              <w:bottom w:val="single" w:color="CED4DA" w:sz="4"/>
              <w:right w:val="single" w:color="CED4DA" w:sz="4"/>
            </w:tcBorders>
            <w:tcMar>
              <w:top w:type="dxa" w:w="60"/>
              <w:left w:type="dxa" w:w="100"/>
              <w:bottom w:type="dxa" w:w="60"/>
              <w:right w:type="dxa" w:w="100"/>
            </w:tcMar>
          </w:tcPr>
          <w:p>
            <w:r>
              <w:rPr>
                <w:rFonts w:ascii="Consolas" w:cs="Consolas" w:eastAsia="Consolas" w:hAnsi="Consolas"/>
                <w:sz w:val="19"/>
                <w:szCs w:val="19"/>
              </w:rPr>
              <w:t xml:space="preserve">pipeline/build_bus_network.py</w:t>
            </w:r>
          </w:p>
        </w:tc>
        <w:tc>
          <w:tcPr>
            <w:tcW w:type="dxa" w:w="5626"/>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GTFS → stop and link busyness; </w:t>
            </w:r>
            <w:r>
              <w:rPr>
                <w:rFonts w:ascii="Consolas" w:cs="Consolas" w:eastAsia="Consolas" w:hAnsi="Consolas"/>
                <w:sz w:val="19"/>
                <w:szCs w:val="19"/>
              </w:rPr>
              <w:t xml:space="preserve">BUS_GTFS_SRC</w:t>
            </w:r>
            <w:r>
              <w:t xml:space="preserve"> or </w:t>
            </w:r>
            <w:r>
              <w:rPr>
                <w:rFonts w:ascii="Consolas" w:cs="Consolas" w:eastAsia="Consolas" w:hAnsi="Consolas"/>
                <w:sz w:val="19"/>
                <w:szCs w:val="19"/>
              </w:rPr>
              <w:t xml:space="preserve">BUS_GTFS_FILE</w:t>
            </w:r>
            <w:r>
              <w:t xml:space="preserve"> for any feed</w:t>
            </w:r>
          </w:p>
        </w:tc>
      </w:tr>
      <w:tr>
        <w:trPr>
          <w:tblHeader w:val="off"/>
        </w:trPr>
        <w:tc>
          <w:tcPr>
            <w:tcW w:type="dxa" w:w="3400"/>
            <w:tcBorders>
              <w:top w:val="single" w:color="CED4DA" w:sz="4"/>
              <w:left w:val="single" w:color="CED4DA" w:sz="4"/>
              <w:bottom w:val="single" w:color="CED4DA" w:sz="4"/>
              <w:right w:val="single" w:color="CED4DA" w:sz="4"/>
            </w:tcBorders>
            <w:tcMar>
              <w:top w:type="dxa" w:w="60"/>
              <w:left w:type="dxa" w:w="100"/>
              <w:bottom w:type="dxa" w:w="60"/>
              <w:right w:type="dxa" w:w="100"/>
            </w:tcMar>
          </w:tcPr>
          <w:p>
            <w:r>
              <w:rPr>
                <w:rFonts w:ascii="Consolas" w:cs="Consolas" w:eastAsia="Consolas" w:hAnsi="Consolas"/>
                <w:sz w:val="19"/>
                <w:szCs w:val="19"/>
              </w:rPr>
              <w:t xml:space="preserve">pipeline/road_snap.py</w:t>
            </w:r>
          </w:p>
        </w:tc>
        <w:tc>
          <w:tcPr>
            <w:tcW w:type="dxa" w:w="5626"/>
            <w:tcBorders>
              <w:top w:val="single" w:color="CED4DA" w:sz="4"/>
              <w:left w:val="single" w:color="CED4DA" w:sz="4"/>
              <w:bottom w:val="single" w:color="CED4DA" w:sz="4"/>
              <w:right w:val="single" w:color="CED4DA" w:sz="4"/>
            </w:tcBorders>
            <w:tcMar>
              <w:top w:type="dxa" w:w="60"/>
              <w:left w:type="dxa" w:w="100"/>
              <w:bottom w:type="dxa" w:w="60"/>
              <w:right w:type="dxa" w:w="100"/>
            </w:tcMar>
          </w:tcPr>
          <w:p>
            <w:r>
              <w:rPr>
                <w:rFonts w:ascii="Consolas" w:cs="Consolas" w:eastAsia="Consolas" w:hAnsi="Consolas"/>
                <w:sz w:val="19"/>
                <w:szCs w:val="19"/>
              </w:rPr>
              <w:t xml:space="preserve">RoadSnapper(open_roads_zip).snap({key: (a, b)})</w:t>
            </w:r>
            <w:r>
              <w:t xml:space="preserve"> — routes any point-to-point hops on OS Open Roads</w:t>
            </w:r>
          </w:p>
        </w:tc>
      </w:tr>
      <w:tr>
        <w:trPr>
          <w:tblHeader w:val="off"/>
        </w:trPr>
        <w:tc>
          <w:tcPr>
            <w:tcW w:type="dxa" w:w="3400"/>
            <w:tcBorders>
              <w:top w:val="single" w:color="CED4DA" w:sz="4"/>
              <w:left w:val="single" w:color="CED4DA" w:sz="4"/>
              <w:bottom w:val="single" w:color="CED4DA" w:sz="4"/>
              <w:right w:val="single" w:color="CED4DA" w:sz="4"/>
            </w:tcBorders>
            <w:tcMar>
              <w:top w:type="dxa" w:w="60"/>
              <w:left w:type="dxa" w:w="100"/>
              <w:bottom w:type="dxa" w:w="60"/>
              <w:right w:type="dxa" w:w="100"/>
            </w:tcMar>
          </w:tcPr>
          <w:p>
            <w:r>
              <w:rPr>
                <w:rFonts w:ascii="Consolas" w:cs="Consolas" w:eastAsia="Consolas" w:hAnsi="Consolas"/>
                <w:sz w:val="19"/>
                <w:szCs w:val="19"/>
              </w:rPr>
              <w:t xml:space="preserve">pipeline/build_road_traffic.py</w:t>
            </w:r>
          </w:p>
        </w:tc>
        <w:tc>
          <w:tcPr>
            <w:tcW w:type="dxa" w:w="5626"/>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AADF → road links, junctions, count points; </w:t>
            </w:r>
            <w:r>
              <w:rPr>
                <w:rFonts w:ascii="Consolas" w:cs="Consolas" w:eastAsia="Consolas" w:hAnsi="Consolas"/>
                <w:sz w:val="19"/>
                <w:szCs w:val="19"/>
              </w:rPr>
              <w:t xml:space="preserve">ROAD_TILES=TQ</w:t>
            </w:r>
            <w:r>
              <w:t xml:space="preserve"> for a one-square test</w:t>
            </w:r>
          </w:p>
        </w:tc>
      </w:tr>
      <w:tr>
        <w:trPr>
          <w:tblHeader w:val="off"/>
        </w:trPr>
        <w:tc>
          <w:tcPr>
            <w:tcW w:type="dxa" w:w="3400"/>
            <w:tcBorders>
              <w:top w:val="single" w:color="CED4DA" w:sz="4"/>
              <w:left w:val="single" w:color="CED4DA" w:sz="4"/>
              <w:bottom w:val="single" w:color="CED4DA" w:sz="4"/>
              <w:right w:val="single" w:color="CED4DA" w:sz="4"/>
            </w:tcBorders>
            <w:tcMar>
              <w:top w:type="dxa" w:w="60"/>
              <w:left w:type="dxa" w:w="100"/>
              <w:bottom w:type="dxa" w:w="60"/>
              <w:right w:type="dxa" w:w="100"/>
            </w:tcMar>
          </w:tcPr>
          <w:p>
            <w:r>
              <w:rPr>
                <w:rFonts w:ascii="Consolas" w:cs="Consolas" w:eastAsia="Consolas" w:hAnsi="Consolas"/>
                <w:sz w:val="19"/>
                <w:szCs w:val="19"/>
              </w:rPr>
              <w:t xml:space="preserve">pipeline/build_rail_usage.py</w:t>
            </w:r>
          </w:p>
        </w:tc>
        <w:tc>
          <w:tcPr>
            <w:tcW w:type="dxa" w:w="5626"/>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CIF timetable → trains per track section</w:t>
            </w:r>
          </w:p>
        </w:tc>
      </w:tr>
      <w:tr>
        <w:trPr>
          <w:tblHeader w:val="off"/>
        </w:trPr>
        <w:tc>
          <w:tcPr>
            <w:tcW w:type="dxa" w:w="3400"/>
            <w:tcBorders>
              <w:top w:val="single" w:color="CED4DA" w:sz="4"/>
              <w:left w:val="single" w:color="CED4DA" w:sz="4"/>
              <w:bottom w:val="single" w:color="CED4DA" w:sz="4"/>
              <w:right w:val="single" w:color="CED4DA" w:sz="4"/>
            </w:tcBorders>
            <w:tcMar>
              <w:top w:type="dxa" w:w="60"/>
              <w:left w:type="dxa" w:w="100"/>
              <w:bottom w:type="dxa" w:w="60"/>
              <w:right w:type="dxa" w:w="100"/>
            </w:tcMar>
          </w:tcPr>
          <w:p>
            <w:r>
              <w:rPr>
                <w:rFonts w:ascii="Consolas" w:cs="Consolas" w:eastAsia="Consolas" w:hAnsi="Consolas"/>
                <w:sz w:val="19"/>
                <w:szCs w:val="19"/>
              </w:rPr>
              <w:t xml:space="preserve">pipeline/tile_zoom_filter.py</w:t>
            </w:r>
          </w:p>
        </w:tc>
        <w:tc>
          <w:tcPr>
            <w:tcW w:type="dxa" w:w="5626"/>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Prints the per-zoom tippecanoe filter</w:t>
            </w:r>
          </w:p>
        </w:tc>
      </w:tr>
      <w:tr>
        <w:trPr>
          <w:tblHeader w:val="off"/>
        </w:trPr>
        <w:tc>
          <w:tcPr>
            <w:tcW w:type="dxa" w:w="3400"/>
            <w:tcBorders>
              <w:top w:val="single" w:color="CED4DA" w:sz="4"/>
              <w:left w:val="single" w:color="CED4DA" w:sz="4"/>
              <w:bottom w:val="single" w:color="CED4DA" w:sz="4"/>
              <w:right w:val="single" w:color="CED4DA" w:sz="4"/>
            </w:tcBorders>
            <w:tcMar>
              <w:top w:type="dxa" w:w="60"/>
              <w:left w:type="dxa" w:w="100"/>
              <w:bottom w:type="dxa" w:w="60"/>
              <w:right w:type="dxa" w:w="100"/>
            </w:tcMar>
          </w:tcPr>
          <w:p>
            <w:r>
              <w:rPr>
                <w:rFonts w:ascii="Consolas" w:cs="Consolas" w:eastAsia="Consolas" w:hAnsi="Consolas"/>
                <w:sz w:val="19"/>
                <w:szCs w:val="19"/>
              </w:rPr>
              <w:t xml:space="preserve">.github/workflows/build-transport-layers.yml</w:t>
            </w:r>
          </w:p>
        </w:tc>
        <w:tc>
          <w:tcPr>
            <w:tcW w:type="dxa" w:w="5626"/>
            <w:tcBorders>
              <w:top w:val="single" w:color="CED4DA" w:sz="4"/>
              <w:left w:val="single" w:color="CED4DA" w:sz="4"/>
              <w:bottom w:val="single" w:color="CED4DA" w:sz="4"/>
              <w:right w:val="single" w:color="CED4DA" w:sz="4"/>
            </w:tcBorders>
            <w:tcMar>
              <w:top w:type="dxa" w:w="60"/>
              <w:left w:type="dxa" w:w="100"/>
              <w:bottom w:type="dxa" w:w="60"/>
              <w:right w:type="dxa" w:w="100"/>
            </w:tcMar>
          </w:tcPr>
          <w:p>
            <w:r>
              <w:t xml:space="preserve">Downloads, builds, tiles and uploads all of the above monthly</w:t>
            </w:r>
          </w:p>
        </w:tc>
      </w:tr>
    </w:tbl>
    <w:p>
      <w:pPr>
        <w:spacing w:before="120"/>
      </w:pPr>
      <w:r>
        <w:t xml:space="preserve">Outside Great Britain, swap OS Open Roads for OpenStreetMap roads (the snapper needs only link geometry plus start and end node IDs) and the DfT counts for the local traffic-count dataset; the bus method works on any GTFS feed unchanged.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68E96"/>
        <w:sz w:val="16"/>
        <w:szCs w:val="16"/>
      </w:rPr>
      <w:t xml:space="preserve">Transport service and traffic maps — page </w:t>
    </w:r>
    <w:r>
      <w:rPr>
        <w:color w:val="868E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80"/>
      </w:pPr>
    </w:lvl>
    <w:lvl w:ilvl="1" w:tentative="1">
      <w:start w:val="1"/>
      <w:numFmt w:val="bullet"/>
      <w:lvlText w:val="–"/>
      <w:lvlJc w:val="left"/>
      <w:pPr>
        <w:ind w:left="920" w:hanging="280"/>
      </w:pPr>
    </w:lvl>
  </w:abstractNum>
  <w:abstractNum w:abstractNumId="3" w15:restartNumberingAfterBreak="0">
    <w:multiLevelType w:val="hybridMultilevel"/>
    <w:lvl w:ilvl="0" w:tentative="1">
      <w:start w:val="1"/>
      <w:numFmt w:val="decimal"/>
      <w:lvlText w:val="%1."/>
      <w:lvlJc w:val="left"/>
      <w:pPr>
        <w:ind w:left="460" w:hanging="360"/>
      </w:pPr>
    </w:lvl>
  </w:abstractNum>
  <w:abstractNum w:abstractNumId="4" w15:restartNumberingAfterBreak="0">
    <w:multiLevelType w:val="hybridMultilevel"/>
    <w:lvl w:ilvl="0" w:tentative="1">
      <w:start w:val="1"/>
      <w:numFmt w:val="decimal"/>
      <w:lvlText w:val="%1."/>
      <w:lvlJc w:val="left"/>
      <w:pPr>
        <w:ind w:left="460" w:hanging="360"/>
      </w:pPr>
    </w:lvl>
  </w:abstractNum>
  <w:abstractNum w:abstractNumId="5" w15:restartNumberingAfterBreak="0">
    <w:multiLevelType w:val="hybridMultilevel"/>
    <w:lvl w:ilvl="0" w:tentative="1">
      <w:start w:val="1"/>
      <w:numFmt w:val="decimal"/>
      <w:lvlText w:val="%1."/>
      <w:lvlJc w:val="left"/>
      <w:pPr>
        <w:ind w:left="460" w:hanging="360"/>
      </w:pPr>
    </w:lvl>
  </w:abstractNum>
  <w:abstractNum w:abstractNumId="6" w15:restartNumberingAfterBreak="0">
    <w:multiLevelType w:val="hybridMultilevel"/>
    <w:lvl w:ilvl="0" w:tentative="1">
      <w:start w:val="1"/>
      <w:numFmt w:val="decimal"/>
      <w:lvlText w:val="%1."/>
      <w:lvlJc w:val="left"/>
      <w:pPr>
        <w:ind w:left="46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2937"/>
      <w:sz w:val="40"/>
      <w:szCs w:val="40"/>
    </w:rPr>
  </w:style>
  <w:style w:type="paragraph" w:styleId="Heading1">
    <w:name w:val="Heading 1"/>
    <w:basedOn w:val="Normal"/>
    <w:next w:val="Normal"/>
    <w:qFormat/>
    <w:pPr>
      <w:spacing w:after="140" w:before="320"/>
      <w:outlineLvl w:val="0"/>
    </w:pPr>
    <w:rPr>
      <w:b/>
      <w:bCs/>
      <w:color w:val="1F3A68"/>
      <w:sz w:val="30"/>
      <w:szCs w:val="30"/>
    </w:rPr>
  </w:style>
  <w:style w:type="paragraph" w:styleId="Heading2">
    <w:name w:val="Heading 2"/>
    <w:basedOn w:val="Normal"/>
    <w:next w:val="Normal"/>
    <w:qFormat/>
    <w:pPr>
      <w:spacing w:after="100" w:before="200"/>
      <w:outlineLvl w:val="1"/>
    </w:pPr>
    <w:rPr>
      <w:b/>
      <w:bCs/>
      <w:color w:val="2B4C7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 service and traffic maps — methodology</dc:title>
  <dc:creator>MasterMapper</dc:creator>
  <cp:lastModifiedBy>Un-named</cp:lastModifiedBy>
  <cp:revision>1</cp:revision>
  <dcterms:created xsi:type="dcterms:W3CDTF">2026-09-30T22:25:18.499Z</dcterms:created>
  <dcterms:modified xsi:type="dcterms:W3CDTF">2026-09-30T22:25:18.499Z</dcterms:modified>
</cp:coreProperties>
</file>

<file path=docProps/custom.xml><?xml version="1.0" encoding="utf-8"?>
<Properties xmlns="http://schemas.openxmlformats.org/officeDocument/2006/custom-properties" xmlns:vt="http://schemas.openxmlformats.org/officeDocument/2006/docPropsVTypes"/>
</file>