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1.4 – Basic Security Assessment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 basic security assessment of a controlled local lab environment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(OWASP Juice Shop running via Docker on localhost) using nmap.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Methodology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`nmap -sV -p 3000 localhost` to perform a version-detection scan on the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port where Juice Shop is hosted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Port 3000/tcp was found “open”, running a Node.js-based web service.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Service banner grabbing revealed the response headers and HTML metadata,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confirming the running application as “OWASP Juice Shop” (an intentionally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vulnerable web app maintained by Bjoern Kimminich and OWASP contributors).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Response headers exposed information such as: Content-Type, Server timing,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Access-Control-Allow-Origin set to wildcard (`*`), and allowed HTTP methods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(GET, HEAD, PUT, PATCH, POST, DELETE).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Observations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“Open CORS policy” (`Access-Control-Allow-Origin: `) — while acceptable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a deliberately vulnerable practice app, in a production environment this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would allow any external domain to make requests to the API, a potential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security risk.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“Verbose service banners” — the scan easily revealed the exact application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and its underlying framework. In a real-world assessment, this kind of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information disclosure helps attackers fingerprint the target and search for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known vulnerabilities specific to that software version.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“Multiple HTTP methods allowed” (including PUT, PATCH, DELETE) — if not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properly authenticated/restricted, these could allow unauthorized data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modification.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Conclusion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basic assessment confirms the target is reachable and identifiable via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scanning techniques. It reinforces why minimizing exposed information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(banners, permissive headers) is an important part of hardening — even though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target is intentionally vulnerable for learning purposes.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Screenshot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1.4.1 Nmap_scan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