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Task 4.3 – Incident-Response Procedure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Scenario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Based on the simulated attack analyzed in Task 3.3: a threat actor brute-forced SSH login credentials for the "admin" account from a single source IP, successfully authenticated, escalated privileges by attempting to read /etc/shadow, and downloaded and executed an external script ("payload.sh") - indicating likely malware deployment. The same account was later seen logging in again, including at an unusual hour (2:30 AM).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document defines the incident-response procedure for this scenario, following the standard phases: Preparation, Identification, Containment, Eradication, Recovery, and Lessons Learned.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 Preparation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(Controls that should already be in place before an incident occurs)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Centralized logging of all SSH authentication attempts (as demonstrated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in Task 3.1/3.2)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Defined severity thresholds for alerting on repeated failed logins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(established in Task 3.2's monitoring workflow)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An up-to-date contact list for the incident response team / system owner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Backups of critical systems maintained and tested regularly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2. Identification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How the incident is detected and confirmed: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The log-monitoring tracker (Task 3.2) flags the source IP as High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severity once failed login attempts exceed the defined threshold (20+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attempts)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 successful login immediately following a burst of failures from the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same IP is treated as a strong indicator of compromise and triggers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manual review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Confirm the incident by reviewing the session's command history for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signs of reconnaissance (e.g. whoami), privilege escalation attempts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(e.g. accessing /etc/shadow), or unusual file downloads/executions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3. Containment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Immediate actions to limit damage: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Short-term containment: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Disable the compromised "admin" account immediately to prevent further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attacker access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Block the attacking source IP at the firewall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Isolate the affected system from the network if active malicious process execution is suspected, to prevent lateral movement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Long-term containment: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Force a password reset for all accounts on the affected system, not  just the compromised one, in case credentials were reused or harvested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Review and temporarily increase logging/monitoring sensitivity on the affected system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4. Eradication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Removing the threat from the environment: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Locate and remove the downloaded payload (/tmp/payload.sh) and  terminate any processes it may have spawned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Scan the system for additional backdoors, unauthorized cron jobs, or  newly created user accounts the attacker may have added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Patch or reconfigure whatever allowed the initial brute-force success  (e.g. enforce stronger password policy, disable password-based SSH login in favor of key-based authentication)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5. Recovery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Restoring normal, secure operation: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Re-enable the affected account only after a forced password reset and  confirmation that no backdoors remain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Restore any altered or deleted files from clean backups if needed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Closely monitor the system for 48-72 hours post-recovery for signs of  repeat activity from the same source or related indicators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6. Lessons Learned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Post-incident review actions: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Document the full timeline of the incident (as captured in Task 3.3's analysis) for internal record-keeping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Identify the root cause: a weak/guessable password allowed brute-force success - recommend enforcing stronger password policy and/or  multi-factor authentication (MFA) going forward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Update detection thresholds if needed based on how this incident was (or wasn't) caught quickly enough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Share findings with the wider team to raise awareness of this specific attack pattern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Key Recommendation Going Forward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Implementing MFA on all administrative accounts would have prevented this entire incident chain, even if the password itself was successfully guessed - this is the single highest-impact control identified from this scenario.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257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