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F8C43" w14:textId="77777777" w:rsidR="00D20D83" w:rsidRDefault="008E4097" w:rsidP="00D20D83">
      <w:pPr>
        <w:jc w:val="both"/>
        <w:rPr>
          <w:b/>
          <w:bCs/>
        </w:rPr>
      </w:pPr>
      <w:r w:rsidRPr="008E4097">
        <w:rPr>
          <w:b/>
          <w:bCs/>
        </w:rPr>
        <w:t>Tätigkeitsbeschreibung</w:t>
      </w:r>
      <w:r>
        <w:rPr>
          <w:b/>
          <w:bCs/>
        </w:rPr>
        <w:t xml:space="preserve"> «Medical Knowledge Engineer»</w:t>
      </w:r>
      <w:r w:rsidRPr="008E4097">
        <w:rPr>
          <w:b/>
          <w:bCs/>
        </w:rPr>
        <w:t xml:space="preserve"> mit Bezug zur Zusatzweiterbildung Medizinische Informatik:</w:t>
      </w:r>
    </w:p>
    <w:p w14:paraId="527AD9BE" w14:textId="77777777" w:rsidR="00D20D83" w:rsidRDefault="008E4097" w:rsidP="00D20D83">
      <w:pPr>
        <w:jc w:val="both"/>
      </w:pPr>
      <w:r w:rsidRPr="008E4097">
        <w:br/>
        <w:t>In meiner aktuellen Position als </w:t>
      </w:r>
      <w:r w:rsidRPr="008E4097">
        <w:rPr>
          <w:i/>
          <w:iCs/>
        </w:rPr>
        <w:t>Knowledge Engineer</w:t>
      </w:r>
      <w:r w:rsidRPr="008E4097">
        <w:t xml:space="preserve"> bin ich verantwortlich für die Entwicklung und Pflege </w:t>
      </w:r>
      <w:proofErr w:type="spellStart"/>
      <w:r w:rsidRPr="008E4097">
        <w:t>ontologiebasierter</w:t>
      </w:r>
      <w:proofErr w:type="spellEnd"/>
      <w:r w:rsidRPr="008E4097">
        <w:t xml:space="preserve"> Datenbanken zur automatisierten Analyse medizinischer Prozeduren und Diagnosen in klinischen Dokumenten. Dabei arbeite ich an der Schnittstelle von Medizin, Informatik und linguistischer Datenverarbeitung</w:t>
      </w:r>
      <w:r>
        <w:t>.</w:t>
      </w:r>
    </w:p>
    <w:p w14:paraId="01655BC5" w14:textId="7C8CDE80" w:rsidR="00285736" w:rsidRDefault="008E4097" w:rsidP="00D20D83">
      <w:pPr>
        <w:jc w:val="both"/>
      </w:pPr>
      <w:r w:rsidRPr="008E4097">
        <w:t xml:space="preserve">Ein wesentlicher Teil meiner Tätigkeit umfasst die semantische Analyse medizinischer Texte unter Anwendung regelbasierter Verfahren, regulärer Ausdrücke sowie Java- und Groovy-Skripten. Hierbei verarbeite ich </w:t>
      </w:r>
      <w:r>
        <w:t xml:space="preserve">Daten aus </w:t>
      </w:r>
      <w:r w:rsidRPr="008E4097">
        <w:t xml:space="preserve">PostgreSQL-Datenbanken, die mithilfe linguistischer Konzepte und Algorithmen </w:t>
      </w:r>
      <w:r>
        <w:t xml:space="preserve">hinsichtlich der jeweiligen </w:t>
      </w:r>
      <w:r w:rsidR="00C1050C">
        <w:t xml:space="preserve">medizinischen </w:t>
      </w:r>
      <w:r>
        <w:t>Klassifikationen</w:t>
      </w:r>
      <w:r w:rsidRPr="008E4097">
        <w:t xml:space="preserve"> interpretiert werden.</w:t>
      </w:r>
      <w:r w:rsidRPr="008E4097">
        <w:br/>
        <w:t>Ich entwickle darüber hinaus kleinere Software-Anwendungen zur teilautomatisierten Verarbeitung dieser medizinischen Informationen. Dies umfasst sowohl das Design als auch die Implementierung von Schnittstellen und Tools zur Integration in bestehende Informationssysteme.</w:t>
      </w:r>
      <w:r w:rsidR="00285736">
        <w:br/>
        <w:t xml:space="preserve">Zum Einsatz kommen auf organisatorischer Ebene auch cloudbasierte Technologien (AWS) sowie im Rahmen des </w:t>
      </w:r>
      <w:r w:rsidR="00285736" w:rsidRPr="00285736">
        <w:t>Management</w:t>
      </w:r>
      <w:r w:rsidR="00285736">
        <w:t>s</w:t>
      </w:r>
      <w:r w:rsidR="00285736" w:rsidRPr="00285736">
        <w:t xml:space="preserve"> eine</w:t>
      </w:r>
      <w:r w:rsidR="00D20D83">
        <w:t>s</w:t>
      </w:r>
      <w:r w:rsidR="00285736" w:rsidRPr="00285736">
        <w:t xml:space="preserve"> </w:t>
      </w:r>
      <w:r w:rsidR="00285736">
        <w:t xml:space="preserve">Software </w:t>
      </w:r>
      <w:r w:rsidR="00285736" w:rsidRPr="00285736">
        <w:t>Release</w:t>
      </w:r>
      <w:r w:rsidR="00285736">
        <w:t>s</w:t>
      </w:r>
      <w:r w:rsidR="00285736" w:rsidRPr="00285736">
        <w:t xml:space="preserve"> </w:t>
      </w:r>
      <w:r w:rsidR="00285736">
        <w:t xml:space="preserve">die </w:t>
      </w:r>
      <w:r w:rsidR="00285736" w:rsidRPr="00285736">
        <w:t>Entwicklungsübersicht- und Kommunikation mit SCRUM und JIRA</w:t>
      </w:r>
      <w:r w:rsidR="00285736">
        <w:t xml:space="preserve"> und die</w:t>
      </w:r>
      <w:r w:rsidR="00285736" w:rsidRPr="00285736">
        <w:t xml:space="preserve"> Versionsverwaltung mittels </w:t>
      </w:r>
      <w:proofErr w:type="spellStart"/>
      <w:r w:rsidR="00285736" w:rsidRPr="00285736">
        <w:t>Git</w:t>
      </w:r>
      <w:proofErr w:type="spellEnd"/>
      <w:r w:rsidR="00285736">
        <w:t xml:space="preserve"> und </w:t>
      </w:r>
      <w:proofErr w:type="spellStart"/>
      <w:r w:rsidR="00285736">
        <w:t>Github</w:t>
      </w:r>
      <w:proofErr w:type="spellEnd"/>
      <w:r w:rsidR="00285736" w:rsidRPr="00285736">
        <w:t>.</w:t>
      </w:r>
    </w:p>
    <w:p w14:paraId="1C5D8D68" w14:textId="755087BB" w:rsidR="00C1050C" w:rsidRDefault="00C1050C" w:rsidP="00D20D83">
      <w:pPr>
        <w:jc w:val="both"/>
      </w:pPr>
      <w:r w:rsidRPr="008E4097">
        <w:t xml:space="preserve">Durch diese interdisziplinäre Tätigkeit im Bereich der medizinischen Textverarbeitung und Systementwicklung wird ein breites Spektrum der in der Zusatzweiterbildung geforderten Kompetenzen praktisch umgesetzt, insbesondere in den </w:t>
      </w:r>
      <w:r>
        <w:t xml:space="preserve">folgenden </w:t>
      </w:r>
      <w:r w:rsidRPr="008E4097">
        <w:t>Bereichen</w:t>
      </w:r>
      <w:r>
        <w:t>:</w:t>
      </w:r>
    </w:p>
    <w:p w14:paraId="358F2ECE" w14:textId="77777777" w:rsidR="00C1050C" w:rsidRDefault="00C1050C" w:rsidP="00D20D83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E4097" w14:paraId="78B08D01" w14:textId="77777777" w:rsidTr="00C1050C">
        <w:tc>
          <w:tcPr>
            <w:tcW w:w="4531" w:type="dxa"/>
          </w:tcPr>
          <w:p w14:paraId="79F3ACFB" w14:textId="2D741A0E" w:rsidR="008E4097" w:rsidRDefault="008E4097" w:rsidP="00C1050C">
            <w:r w:rsidRPr="008E4097">
              <w:rPr>
                <w:b/>
                <w:bCs/>
              </w:rPr>
              <w:t>Kompetenzbereich laut Weiterbildungsordnung</w:t>
            </w:r>
          </w:p>
        </w:tc>
        <w:tc>
          <w:tcPr>
            <w:tcW w:w="4531" w:type="dxa"/>
          </w:tcPr>
          <w:p w14:paraId="14400FF3" w14:textId="7A3F8218" w:rsidR="008E4097" w:rsidRDefault="008E4097" w:rsidP="00C1050C">
            <w:r w:rsidRPr="008E4097">
              <w:rPr>
                <w:b/>
                <w:bCs/>
              </w:rPr>
              <w:t>Nachweis durch Tätigkeit</w:t>
            </w:r>
          </w:p>
        </w:tc>
      </w:tr>
      <w:tr w:rsidR="008E4097" w14:paraId="58E22D3B" w14:textId="77777777" w:rsidTr="00C1050C">
        <w:tc>
          <w:tcPr>
            <w:tcW w:w="4531" w:type="dxa"/>
          </w:tcPr>
          <w:p w14:paraId="281E5441" w14:textId="707E7EDC" w:rsidR="008E4097" w:rsidRDefault="008E4097" w:rsidP="00C1050C">
            <w:r>
              <w:rPr>
                <w:b/>
                <w:bCs/>
              </w:rPr>
              <w:t>1</w:t>
            </w:r>
            <w:r w:rsidRPr="008E4097">
              <w:rPr>
                <w:b/>
                <w:bCs/>
              </w:rPr>
              <w:t>.Grundlagen der medizinischen Informatik</w:t>
            </w:r>
          </w:p>
        </w:tc>
        <w:tc>
          <w:tcPr>
            <w:tcW w:w="4531" w:type="dxa"/>
          </w:tcPr>
          <w:p w14:paraId="2E9302E1" w14:textId="72BEB13D" w:rsidR="008E4097" w:rsidRDefault="008E4097" w:rsidP="00C1050C">
            <w:r w:rsidRPr="008E4097">
              <w:t>Täglicher Umgang mit medizinischen Klassifikationen (ICD-10/11, OPS, CHOP); konzeptionelle Arbeit an Ontologien und semantischer Repräsentation medizinischer Inhalte.</w:t>
            </w:r>
          </w:p>
        </w:tc>
      </w:tr>
      <w:tr w:rsidR="008E4097" w14:paraId="60E5735E" w14:textId="77777777" w:rsidTr="00C1050C">
        <w:tc>
          <w:tcPr>
            <w:tcW w:w="4531" w:type="dxa"/>
          </w:tcPr>
          <w:p w14:paraId="77EE12D0" w14:textId="6F0E1506" w:rsidR="008E4097" w:rsidRDefault="008E4097" w:rsidP="00C1050C">
            <w:r w:rsidRPr="008E4097">
              <w:rPr>
                <w:b/>
                <w:bCs/>
              </w:rPr>
              <w:t>2.Medizinische</w:t>
            </w:r>
            <w:r w:rsidR="00C1050C">
              <w:rPr>
                <w:b/>
                <w:bCs/>
              </w:rPr>
              <w:t xml:space="preserve"> </w:t>
            </w:r>
            <w:r w:rsidRPr="008E4097">
              <w:rPr>
                <w:b/>
                <w:bCs/>
              </w:rPr>
              <w:t>Dokumentation und Terminologien</w:t>
            </w:r>
          </w:p>
        </w:tc>
        <w:tc>
          <w:tcPr>
            <w:tcW w:w="4531" w:type="dxa"/>
          </w:tcPr>
          <w:p w14:paraId="0354A25D" w14:textId="3BC29684" w:rsidR="008E4097" w:rsidRDefault="008E4097" w:rsidP="00C1050C">
            <w:r w:rsidRPr="008E4097">
              <w:t>Verarbeitung klinischer Texte zur Extraktion und Standardisierung medizinischer Prozeduren/Diagnosen; Anwendung linguistischer Regeln zur strukturierten Dokumentation.</w:t>
            </w:r>
          </w:p>
        </w:tc>
      </w:tr>
      <w:tr w:rsidR="008E4097" w14:paraId="36D72371" w14:textId="77777777" w:rsidTr="00C1050C">
        <w:tc>
          <w:tcPr>
            <w:tcW w:w="4531" w:type="dxa"/>
          </w:tcPr>
          <w:p w14:paraId="5D87D615" w14:textId="727B4937" w:rsidR="008E4097" w:rsidRDefault="008E4097" w:rsidP="00C1050C">
            <w:r w:rsidRPr="008E4097">
              <w:rPr>
                <w:b/>
                <w:bCs/>
              </w:rPr>
              <w:t xml:space="preserve">3. Klassifikations- und </w:t>
            </w:r>
            <w:proofErr w:type="spellStart"/>
            <w:r w:rsidRPr="008E4097">
              <w:rPr>
                <w:b/>
                <w:bCs/>
              </w:rPr>
              <w:t>Kodiersysteme</w:t>
            </w:r>
            <w:proofErr w:type="spellEnd"/>
          </w:p>
        </w:tc>
        <w:tc>
          <w:tcPr>
            <w:tcW w:w="4531" w:type="dxa"/>
          </w:tcPr>
          <w:p w14:paraId="3F2CDAEA" w14:textId="7C4889AA" w:rsidR="008E4097" w:rsidRDefault="008E4097" w:rsidP="00C1050C">
            <w:r w:rsidRPr="008E4097">
              <w:t>Direkte Arbeit mit OPS, ICD-10/-11, CHOP inkl. Berücksichtigung jährlicher Updates; Aufbau entsprechender Datenbank</w:t>
            </w:r>
            <w:r>
              <w:t>- und Interpretations</w:t>
            </w:r>
            <w:r w:rsidRPr="008E4097">
              <w:t>strukturen</w:t>
            </w:r>
            <w:r>
              <w:t xml:space="preserve"> sowie Aufbereitung von Abfragekaskaden für den Nutzer.</w:t>
            </w:r>
          </w:p>
        </w:tc>
      </w:tr>
      <w:tr w:rsidR="008E4097" w14:paraId="0C00E5C3" w14:textId="77777777" w:rsidTr="00C1050C">
        <w:tc>
          <w:tcPr>
            <w:tcW w:w="4531" w:type="dxa"/>
          </w:tcPr>
          <w:p w14:paraId="7677771F" w14:textId="497F6F0D" w:rsidR="008E4097" w:rsidRDefault="008E4097" w:rsidP="00C1050C">
            <w:r w:rsidRPr="008E4097">
              <w:rPr>
                <w:b/>
                <w:bCs/>
              </w:rPr>
              <w:t>4. Informationssysteme im Gesundheitswesen</w:t>
            </w:r>
          </w:p>
        </w:tc>
        <w:tc>
          <w:tcPr>
            <w:tcW w:w="4531" w:type="dxa"/>
          </w:tcPr>
          <w:p w14:paraId="6021CEA1" w14:textId="7A6F361C" w:rsidR="008E4097" w:rsidRDefault="00285736" w:rsidP="00C1050C">
            <w:r w:rsidRPr="008E4097">
              <w:t>Entwicklung von Softwarekomponenten, die medizinische Informationen aus Texten in klinische Informationssysteme überführen (z.</w:t>
            </w:r>
            <w:r w:rsidRPr="008E4097">
              <w:rPr>
                <w:rFonts w:ascii="Arial" w:hAnsi="Arial" w:cs="Arial"/>
              </w:rPr>
              <w:t> </w:t>
            </w:r>
            <w:r w:rsidRPr="008E4097">
              <w:t>B. Datenbankanbindungen, Automatisierungen).</w:t>
            </w:r>
          </w:p>
        </w:tc>
      </w:tr>
      <w:tr w:rsidR="008E4097" w14:paraId="0970873C" w14:textId="77777777" w:rsidTr="00C1050C">
        <w:tc>
          <w:tcPr>
            <w:tcW w:w="4531" w:type="dxa"/>
          </w:tcPr>
          <w:p w14:paraId="197B1334" w14:textId="0874A57D" w:rsidR="008E4097" w:rsidRDefault="00285736" w:rsidP="00C1050C">
            <w:r w:rsidRPr="008E4097">
              <w:rPr>
                <w:b/>
                <w:bCs/>
              </w:rPr>
              <w:t>5. Programmierung und Softwareentwicklung</w:t>
            </w:r>
          </w:p>
        </w:tc>
        <w:tc>
          <w:tcPr>
            <w:tcW w:w="4531" w:type="dxa"/>
          </w:tcPr>
          <w:p w14:paraId="219C6F8F" w14:textId="20B0E15C" w:rsidR="008E4097" w:rsidRDefault="00285736" w:rsidP="00C1050C">
            <w:r w:rsidRPr="008E4097">
              <w:t xml:space="preserve">Entwicklung in Java, Groovy, Python; Datenbankanbindung über SQL/PostgreSQL; </w:t>
            </w:r>
            <w:r w:rsidRPr="008E4097">
              <w:lastRenderedPageBreak/>
              <w:t xml:space="preserve">Nutzung von </w:t>
            </w:r>
            <w:proofErr w:type="spellStart"/>
            <w:r w:rsidRPr="008E4097">
              <w:t>RegEx</w:t>
            </w:r>
            <w:proofErr w:type="spellEnd"/>
            <w:r w:rsidRPr="008E4097">
              <w:t xml:space="preserve"> zur regelbasierten Textanalyse.</w:t>
            </w:r>
          </w:p>
        </w:tc>
      </w:tr>
      <w:tr w:rsidR="00285736" w14:paraId="4AA88748" w14:textId="77777777" w:rsidTr="00C1050C">
        <w:tc>
          <w:tcPr>
            <w:tcW w:w="4531" w:type="dxa"/>
          </w:tcPr>
          <w:p w14:paraId="07E06A9D" w14:textId="3E5AA182" w:rsidR="00285736" w:rsidRPr="008E4097" w:rsidRDefault="00285736" w:rsidP="00C1050C">
            <w:pPr>
              <w:rPr>
                <w:b/>
                <w:bCs/>
              </w:rPr>
            </w:pPr>
            <w:r w:rsidRPr="008E4097">
              <w:rPr>
                <w:b/>
                <w:bCs/>
              </w:rPr>
              <w:lastRenderedPageBreak/>
              <w:t>6. Datenmanagement, -integration und -sicherheit</w:t>
            </w:r>
          </w:p>
        </w:tc>
        <w:tc>
          <w:tcPr>
            <w:tcW w:w="4531" w:type="dxa"/>
          </w:tcPr>
          <w:p w14:paraId="4766B7DD" w14:textId="2161F8C8" w:rsidR="00285736" w:rsidRPr="008E4097" w:rsidRDefault="00285736" w:rsidP="00C1050C">
            <w:r w:rsidRPr="008E4097">
              <w:t>Verarbeitung großer Datenmengen mit serverseitiger Architektur (PostgreSQL, VMs)</w:t>
            </w:r>
            <w:r>
              <w:t xml:space="preserve"> und AWS-</w:t>
            </w:r>
            <w:proofErr w:type="spellStart"/>
            <w:r>
              <w:t>Cloud_Diensten</w:t>
            </w:r>
            <w:proofErr w:type="spellEnd"/>
            <w:r w:rsidRPr="008E4097">
              <w:t>; strukturierte, nachvollziehbare Datenhaltung.</w:t>
            </w:r>
          </w:p>
        </w:tc>
      </w:tr>
      <w:tr w:rsidR="00285736" w14:paraId="3B3CD382" w14:textId="77777777" w:rsidTr="00C1050C">
        <w:tc>
          <w:tcPr>
            <w:tcW w:w="4531" w:type="dxa"/>
          </w:tcPr>
          <w:p w14:paraId="02DBA33F" w14:textId="42EC30B5" w:rsidR="00285736" w:rsidRPr="008E4097" w:rsidRDefault="00285736" w:rsidP="00C1050C">
            <w:pPr>
              <w:rPr>
                <w:b/>
                <w:bCs/>
              </w:rPr>
            </w:pPr>
            <w:r w:rsidRPr="008E4097">
              <w:rPr>
                <w:b/>
                <w:bCs/>
              </w:rPr>
              <w:t>7. Datenbanken und Abfragesprachen</w:t>
            </w:r>
          </w:p>
        </w:tc>
        <w:tc>
          <w:tcPr>
            <w:tcW w:w="4531" w:type="dxa"/>
          </w:tcPr>
          <w:p w14:paraId="3F12470F" w14:textId="163213A5" w:rsidR="00285736" w:rsidRPr="008E4097" w:rsidRDefault="00285736" w:rsidP="00C1050C">
            <w:r w:rsidRPr="008E4097">
              <w:t>Design und Pflege relationaler Datenbanken (PostgreSQL); Erstellung und Optimierung komplexer SQL-Abfragen.</w:t>
            </w:r>
          </w:p>
        </w:tc>
      </w:tr>
      <w:tr w:rsidR="00D20D83" w14:paraId="3F930B75" w14:textId="77777777" w:rsidTr="00C1050C">
        <w:tc>
          <w:tcPr>
            <w:tcW w:w="4531" w:type="dxa"/>
          </w:tcPr>
          <w:p w14:paraId="7ACEA724" w14:textId="072B6FF5" w:rsidR="00D20D83" w:rsidRPr="008E4097" w:rsidRDefault="00D20D83" w:rsidP="00C1050C">
            <w:pPr>
              <w:rPr>
                <w:b/>
                <w:bCs/>
              </w:rPr>
            </w:pPr>
            <w:r w:rsidRPr="008E4097">
              <w:rPr>
                <w:b/>
                <w:bCs/>
              </w:rPr>
              <w:t>8. Qualitätssicherung, Validierung und Evaluation</w:t>
            </w:r>
          </w:p>
        </w:tc>
        <w:tc>
          <w:tcPr>
            <w:tcW w:w="4531" w:type="dxa"/>
          </w:tcPr>
          <w:p w14:paraId="64EEFDFF" w14:textId="126D3C80" w:rsidR="00D20D83" w:rsidRPr="008E4097" w:rsidRDefault="00D20D83" w:rsidP="00C1050C">
            <w:r w:rsidRPr="008E4097">
              <w:t xml:space="preserve">Test- und Entwicklungsumgebungen im Rahmen von Release-Zyklen; Versionsverwaltung via </w:t>
            </w:r>
            <w:proofErr w:type="spellStart"/>
            <w:r w:rsidRPr="008E4097">
              <w:t>Git</w:t>
            </w:r>
            <w:proofErr w:type="spellEnd"/>
            <w:r w:rsidRPr="008E4097">
              <w:t>; kontinuierliche Validierung durch SCRUM-Prozesse.</w:t>
            </w:r>
          </w:p>
        </w:tc>
      </w:tr>
      <w:tr w:rsidR="00D20D83" w14:paraId="094DDD5A" w14:textId="77777777" w:rsidTr="00C1050C">
        <w:tc>
          <w:tcPr>
            <w:tcW w:w="4531" w:type="dxa"/>
          </w:tcPr>
          <w:p w14:paraId="447A09A1" w14:textId="667E3CC2" w:rsidR="00D20D83" w:rsidRPr="008E4097" w:rsidRDefault="00D20D83" w:rsidP="00C1050C">
            <w:pPr>
              <w:rPr>
                <w:b/>
                <w:bCs/>
              </w:rPr>
            </w:pPr>
            <w:r w:rsidRPr="008E4097">
              <w:rPr>
                <w:b/>
                <w:bCs/>
              </w:rPr>
              <w:t>10. Projekt- und Prozessmanagement</w:t>
            </w:r>
          </w:p>
        </w:tc>
        <w:tc>
          <w:tcPr>
            <w:tcW w:w="4531" w:type="dxa"/>
          </w:tcPr>
          <w:p w14:paraId="18D04759" w14:textId="59E1978F" w:rsidR="00D20D83" w:rsidRPr="008E4097" w:rsidRDefault="00D20D83" w:rsidP="00C1050C">
            <w:r w:rsidRPr="008E4097">
              <w:t>Mitarbeit in agilen Teams (SCRUM); Nutzung von JIRA zur Koordination; Kommunikation technischer Anforderungen.</w:t>
            </w:r>
          </w:p>
        </w:tc>
      </w:tr>
      <w:tr w:rsidR="00D20D83" w14:paraId="5110A31C" w14:textId="77777777" w:rsidTr="00C1050C">
        <w:tc>
          <w:tcPr>
            <w:tcW w:w="4531" w:type="dxa"/>
          </w:tcPr>
          <w:p w14:paraId="0DD1B871" w14:textId="334EA52B" w:rsidR="00D20D83" w:rsidRPr="008E4097" w:rsidRDefault="00D20D83" w:rsidP="00C1050C">
            <w:pPr>
              <w:rPr>
                <w:b/>
                <w:bCs/>
              </w:rPr>
            </w:pPr>
            <w:r w:rsidRPr="008E4097">
              <w:rPr>
                <w:b/>
                <w:bCs/>
              </w:rPr>
              <w:t>11. Systemarchitekturen und IT-Infrastruktur im Gesundheitswesen</w:t>
            </w:r>
          </w:p>
        </w:tc>
        <w:tc>
          <w:tcPr>
            <w:tcW w:w="4531" w:type="dxa"/>
          </w:tcPr>
          <w:p w14:paraId="419D77FB" w14:textId="2DA4E82C" w:rsidR="00D20D83" w:rsidRPr="008E4097" w:rsidRDefault="00D20D83" w:rsidP="00C1050C">
            <w:r w:rsidRPr="008E4097">
              <w:t>Einsatz von virtuellen Maschinen und serverseitigen Architekturen zur Textverarbeitung und Datenhaltung.</w:t>
            </w:r>
          </w:p>
        </w:tc>
      </w:tr>
      <w:tr w:rsidR="00D20D83" w14:paraId="16DBDFD1" w14:textId="77777777" w:rsidTr="00C1050C">
        <w:tc>
          <w:tcPr>
            <w:tcW w:w="4531" w:type="dxa"/>
          </w:tcPr>
          <w:p w14:paraId="722C58D1" w14:textId="132D839C" w:rsidR="00D20D83" w:rsidRPr="008E4097" w:rsidRDefault="00D20D83" w:rsidP="00C1050C">
            <w:pPr>
              <w:rPr>
                <w:b/>
                <w:bCs/>
              </w:rPr>
            </w:pPr>
            <w:r w:rsidRPr="008E4097">
              <w:rPr>
                <w:b/>
                <w:bCs/>
              </w:rPr>
              <w:t>12. Ethik, Datenschutz und rechtliche Grundlagen</w:t>
            </w:r>
          </w:p>
        </w:tc>
        <w:tc>
          <w:tcPr>
            <w:tcW w:w="4531" w:type="dxa"/>
          </w:tcPr>
          <w:p w14:paraId="2A5841AA" w14:textId="685DBCE4" w:rsidR="00D20D83" w:rsidRPr="008E4097" w:rsidRDefault="00D20D83" w:rsidP="00C1050C">
            <w:r w:rsidRPr="008E4097">
              <w:t>Umgang mit pseudonymisierten oder anonymisierten Gesundheitsdaten bei der Verarbeitung klinischer Dokumente.</w:t>
            </w:r>
          </w:p>
        </w:tc>
      </w:tr>
    </w:tbl>
    <w:p w14:paraId="07A84A6A" w14:textId="5FC19E59" w:rsidR="00891304" w:rsidRDefault="008E4097" w:rsidP="00C1050C">
      <w:r w:rsidRPr="008E4097">
        <w:br/>
      </w:r>
      <w:r w:rsidRPr="008E4097">
        <w:br/>
      </w:r>
    </w:p>
    <w:sectPr w:rsidR="00891304">
      <w:footerReference w:type="default" r:id="rId7"/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67D870" w14:textId="77777777" w:rsidR="00C1050C" w:rsidRDefault="00C1050C" w:rsidP="00C1050C">
      <w:pPr>
        <w:spacing w:after="0" w:line="240" w:lineRule="auto"/>
      </w:pPr>
      <w:r>
        <w:separator/>
      </w:r>
    </w:p>
  </w:endnote>
  <w:endnote w:type="continuationSeparator" w:id="0">
    <w:p w14:paraId="313FAC0E" w14:textId="77777777" w:rsidR="00C1050C" w:rsidRDefault="00C1050C" w:rsidP="00C10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557194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4B489A" w14:textId="149A4A5F" w:rsidR="00C1050C" w:rsidRDefault="00C105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69BB18" w14:textId="77777777" w:rsidR="00C1050C" w:rsidRDefault="00C105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18A48A" w14:textId="77777777" w:rsidR="00C1050C" w:rsidRDefault="00C1050C" w:rsidP="00C1050C">
      <w:pPr>
        <w:spacing w:after="0" w:line="240" w:lineRule="auto"/>
      </w:pPr>
      <w:r>
        <w:separator/>
      </w:r>
    </w:p>
  </w:footnote>
  <w:footnote w:type="continuationSeparator" w:id="0">
    <w:p w14:paraId="5CA07678" w14:textId="77777777" w:rsidR="00C1050C" w:rsidRDefault="00C1050C" w:rsidP="00C10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7C4778"/>
    <w:multiLevelType w:val="hybridMultilevel"/>
    <w:tmpl w:val="E9388A1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29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097"/>
    <w:rsid w:val="00285736"/>
    <w:rsid w:val="00352D87"/>
    <w:rsid w:val="0070737D"/>
    <w:rsid w:val="00891304"/>
    <w:rsid w:val="008E4097"/>
    <w:rsid w:val="00996022"/>
    <w:rsid w:val="00C1050C"/>
    <w:rsid w:val="00D2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F7C44"/>
  <w15:chartTrackingRefBased/>
  <w15:docId w15:val="{5FE09DD3-FB8E-40AE-8867-187BA01F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0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0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0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0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0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0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0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0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0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0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0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0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0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0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0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0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09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4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05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50C"/>
  </w:style>
  <w:style w:type="paragraph" w:styleId="Footer">
    <w:name w:val="footer"/>
    <w:basedOn w:val="Normal"/>
    <w:link w:val="FooterChar"/>
    <w:uiPriority w:val="99"/>
    <w:unhideWhenUsed/>
    <w:rsid w:val="00C105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Stiller</dc:creator>
  <cp:keywords/>
  <dc:description/>
  <cp:lastModifiedBy>Gunnar Stiller</cp:lastModifiedBy>
  <cp:revision>1</cp:revision>
  <dcterms:created xsi:type="dcterms:W3CDTF">2025-07-11T05:35:00Z</dcterms:created>
  <dcterms:modified xsi:type="dcterms:W3CDTF">2025-07-11T06:26:00Z</dcterms:modified>
</cp:coreProperties>
</file>