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Weekly Report for Week Ending 2017-02-03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Kyle Merfeld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Marshall Ford</w:t>
        <w:br w:type="textWrapping"/>
        <w:t xml:space="preserve">Carl Molnar</w:t>
        <w:br w:type="textWrapping"/>
        <w:t xml:space="preserve">Grant Christianson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environment (linting)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Travis CI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specifications sections 1-3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SCRUM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Verified s3 credentials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PM tooling in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Top Highlights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Tangible resources satisfied (we have all the stuff we need. Just need to learn and get more info)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Top Lowlights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Current week was mostly administrative tasks and not actual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Activities, Accomplishments, and Project Effort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445.0" w:type="dxa"/>
        <w:jc w:val="left"/>
        <w:tblInd w:w="-115.0" w:type="dxa"/>
        <w:tblLayout w:type="fixed"/>
        <w:tblLook w:val="0000"/>
      </w:tblPr>
      <w:tblGrid>
        <w:gridCol w:w="2100"/>
        <w:gridCol w:w="2340"/>
        <w:gridCol w:w="6480"/>
        <w:gridCol w:w="1890"/>
        <w:gridCol w:w="1635"/>
        <w:tblGridChange w:id="0">
          <w:tblGrid>
            <w:gridCol w:w="2100"/>
            <w:gridCol w:w="2340"/>
            <w:gridCol w:w="6480"/>
            <w:gridCol w:w="1890"/>
            <w:gridCol w:w="163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Setup environment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Our devel enviroments are all set up for this project.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Kyle Merfeld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Python unit tests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have our framework for unit tests ready to go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Kyle Merfeld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Travis CI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Travis is looking at our stuff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Marshall Ford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Setup PM tooling in Github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now have project management tools 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Carl, Grant, Marshall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Project specifications sections 1-3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Project specifications document sections 1-3 is done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Weekly scrum meetiing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had our weekly meeting with sponsors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Verified s3 credientials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have all the credentials we need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Defined tasks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Populated backlog on PM tool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any activities undertaken by members of the project team in the last week. These can include things done as a group.</w:t>
        <w:br w:type="textWrapping"/>
        <w:t xml:space="preserve">Effort should be estimated in terms of hours of time taken (e.g., 1.5 hours, 3 hours, .5 hours,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Goals for Next 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prototype (read in data to tensorflow)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with s3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more about tensorfow pipelining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more about object storage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Risks</w:t>
      </w:r>
    </w:p>
    <w:tbl>
      <w:tblPr>
        <w:tblStyle w:val="Table2"/>
        <w:bidiVisual w:val="0"/>
        <w:tblW w:w="14430.0" w:type="dxa"/>
        <w:jc w:val="left"/>
        <w:tblInd w:w="-115.0" w:type="dxa"/>
        <w:tblLayout w:type="fixed"/>
        <w:tblLook w:val="000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  <w:tblGridChange w:id="0">
          <w:tblGrid>
            <w:gridCol w:w="649"/>
            <w:gridCol w:w="1169"/>
            <w:gridCol w:w="1812"/>
            <w:gridCol w:w="990"/>
            <w:gridCol w:w="1350"/>
            <w:gridCol w:w="2070"/>
            <w:gridCol w:w="2340"/>
            <w:gridCol w:w="40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Not having permanent bluemix accounts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have to use trial accounts forever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run out of free accounts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talk to sponsors next week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 losing interest or getting busy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mgmt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They play stardew valley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Consistent communication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Cannot meet with primary users (researchers)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Unsure of purpose of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Researchers cannot meet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Flexible meeting times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Addition of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More tasks, less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New ideas come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Early definition of scope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Failure to comprehend tech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Slows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Not enough research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Commit to research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4430.0" w:type="dxa"/>
        <w:jc w:val="left"/>
        <w:tblInd w:w="-115.0" w:type="dxa"/>
        <w:tblLayout w:type="fixed"/>
        <w:tblLook w:val="0000"/>
      </w:tblPr>
      <w:tblGrid>
        <w:gridCol w:w="651"/>
        <w:gridCol w:w="664"/>
        <w:gridCol w:w="1055"/>
        <w:gridCol w:w="2410"/>
        <w:gridCol w:w="805"/>
        <w:gridCol w:w="1195"/>
        <w:gridCol w:w="3600"/>
        <w:gridCol w:w="4050"/>
        <w:tblGridChange w:id="0">
          <w:tblGrid>
            <w:gridCol w:w="651"/>
            <w:gridCol w:w="664"/>
            <w:gridCol w:w="1055"/>
            <w:gridCol w:w="2410"/>
            <w:gridCol w:w="805"/>
            <w:gridCol w:w="1195"/>
            <w:gridCol w:w="3600"/>
            <w:gridCol w:w="40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Risks and Issues tables should be maintained across multiple documents.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Do not remove issues or risks from the tables once added, but make modifications to the status as necessary.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 (g is good,, b is bad)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3832.999999999995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41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tblGridChange w:id="0">
          <w:tblGrid>
            <w:gridCol w:w="6441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process indicates minimal requests for change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Top management remains visibly supportive of the project goals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Risk events are under control and nothing unusual is appearing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the Project Success Tracking table for each new weekly report.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indicate that the project is track according to that criteria, </w:t>
      </w:r>
      <w:r w:rsidDel="00000000" w:rsidR="00000000" w:rsidRPr="00000000">
        <w:rPr>
          <w:b w:val="1"/>
          <w:rtl w:val="0"/>
        </w:rPr>
        <w:t xml:space="preserve">NA</w:t>
      </w:r>
      <w:r w:rsidDel="00000000" w:rsidR="00000000" w:rsidRPr="00000000">
        <w:rPr>
          <w:rtl w:val="0"/>
        </w:rPr>
        <w:t xml:space="preserve"> to indicate a non-applicable criteria, or a number with a note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  <w:t xml:space="preserve">1: </w:t>
        <w:tab/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  <w:t xml:space="preserve">2: </w:t>
        <w:tab/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