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1E48"/>
          <w:sz w:val="38"/>
          <w:szCs w:val="38"/>
        </w:rPr>
        <w:t xml:space="preserve">O1 Execution Runbook — AWS (EC2, 8-GPU H200)</w:t>
      </w:r>
    </w:p>
    <w:p>
      <w:pPr>
        <w:spacing w:after="50" w:line="270"/>
      </w:pPr>
      <w:r>
        <w:rPr>
          <w:i/>
          <w:iCs/>
          <w:color w:val="555555"/>
          <w:sz w:val="21"/>
          <w:szCs w:val="21"/>
        </w:rPr>
        <w:t xml:space="preserve">GPU Benchmark Methodology v1.3 · wwt-o1-harness/1.2-closedloop · environment = aws</w:t>
      </w:r>
    </w:p>
    <w:p>
      <w:pPr>
        <w:spacing w:after="200" w:line="270"/>
      </w:pPr>
      <w:r>
        <w:rPr>
          <w:color w:val="666666"/>
          <w:sz w:val="17"/>
          <w:szCs w:val="17"/>
        </w:rPr>
        <w:t xml:space="preserve">Version 1.0 · 28 July 2026 · World Wide Technology · Companion to the on-prem O1 Runbook v1.1</w:t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1. Scope &amp; Comparability Principles</w:t>
      </w:r>
    </w:p>
    <w:p>
      <w:pPr>
        <w:spacing w:after="130" w:line="270"/>
      </w:pPr>
      <w:r>
        <w:rPr>
          <w:color w:val="262626"/>
          <w:sz w:val="20"/>
          <w:szCs w:val="20"/>
        </w:rPr>
        <w:t xml:space="preserve">This runbook executes methodology outcome O1 (KV cache memory scaling, v1.3 dual-ceiling definition) natively on AWS so the results reconcile row-for-row with the on-prem WWT ATC reference and the other CSP environments. The same harness, the same pinned container image, the same pinned model weights, and the same manifest schema are used — only the substrate changes.</w:t>
      </w:r>
    </w:p>
    <w:p>
      <w:pPr>
        <w:spacing w:after="130" w:line="270"/>
      </w:pPr>
      <w:r>
        <w:rPr>
          <w:b/>
          <w:bCs/>
          <w:color w:val="262626"/>
          <w:sz w:val="20"/>
          <w:szCs w:val="20"/>
        </w:rPr>
        <w:t xml:space="preserve">Non-negotiables for admissible cells (methodology page 3): </w:t>
      </w:r>
      <w:r>
        <w:rPr>
          <w:color w:val="262626"/>
          <w:sz w:val="20"/>
          <w:szCs w:val="20"/>
        </w:rPr>
        <w:t xml:space="preserve">identical model SHA-256s and calibration inputs (Appendix A), identical container image digest, no live downloads during measurement, 3 repeats / CoV ≤ 5% at methodology profile, manifests submitted within 24h of run completion, and no spot/preemptible capacity for timed runs unless preemptions are explicitly tagged.</w:t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2. Instance Selection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2400"/>
        <w:gridCol w:w="3800"/>
        <w:gridCol w:w="3680"/>
      </w:tblGrid>
      <w:tr>
        <w:tc>
          <w:tcPr>
            <w:tcW w:type="dxa" w:w="240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380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68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p5e.48xlarge</w:t>
            </w:r>
          </w:p>
        </w:tc>
        <w:tc>
          <w:tcPr>
            <w:tcW w:type="dxa" w:w="38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8× H200 141GB SXM, NVLink, ~30TB local NVMe</w:t>
            </w:r>
          </w:p>
        </w:tc>
        <w:tc>
          <w:tcPr>
            <w:tcW w:type="dxa" w:w="36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Primary — direct analogue of the on-prem H200 reference node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p5en.48xlarge</w:t>
            </w:r>
          </w:p>
        </w:tc>
        <w:tc>
          <w:tcPr>
            <w:tcW w:type="dxa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As p5e with enhanced networking</w:t>
            </w:r>
          </w:p>
        </w:tc>
        <w:tc>
          <w:tcPr>
            <w:tcW w:type="dxa" w:w="36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Equivalent for single-node O1 (network is not exercised)</w:t>
            </w:r>
          </w:p>
        </w:tc>
      </w:tr>
      <w:tr>
        <w:tc>
          <w:tcPr>
            <w:tcW w:type="dxa" w:w="24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p5.48xlarge</w:t>
            </w:r>
          </w:p>
        </w:tc>
        <w:tc>
          <w:tcPr>
            <w:tcW w:type="dxa" w:w="38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8× H100 80GB SXM</w:t>
            </w:r>
          </w:p>
        </w:tc>
        <w:tc>
          <w:tcPr>
            <w:tcW w:type="dxa" w:w="36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Fallback only — harness supports it, but 80GB HBM shifts memory ceilings; flag in cloud_equivalence_note</w:t>
            </w:r>
          </w:p>
        </w:tc>
      </w:tr>
      <w:tr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p6 (B200) family</w:t>
            </w:r>
          </w:p>
        </w:tc>
        <w:tc>
          <w:tcPr>
            <w:tcW w:type="dxa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8× B200 192GB</w:t>
            </w:r>
          </w:p>
        </w:tc>
        <w:tc>
          <w:tcPr>
            <w:tcW w:type="dxa" w:w="36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Out of O1 scope; becomes relevant for O3 DeepSeek FP4 cells</w:t>
            </w:r>
          </w:p>
        </w:tc>
      </w:tr>
    </w:tbl>
    <w:p>
      <w:pPr>
        <w:spacing w:after="140"/>
      </w:pPr>
    </w:p>
    <w:p>
      <w:pPr>
        <w:spacing w:after="130" w:line="270"/>
      </w:pPr>
      <w:r>
        <w:rPr>
          <w:b/>
          <w:bCs/>
          <w:color w:val="262626"/>
          <w:sz w:val="20"/>
          <w:szCs w:val="20"/>
        </w:rPr>
        <w:t xml:space="preserve">Capacity: </w:t>
      </w:r>
      <w:r>
        <w:rPr>
          <w:color w:val="262626"/>
          <w:sz w:val="20"/>
          <w:szCs w:val="20"/>
        </w:rPr>
        <w:t xml:space="preserve">p5e is rarely available on-demand at will. Use EC2 Capacity Blocks for ML (reserve a defined window matching the run plan) or an On-Demand Capacity Reservation. Budget order-of-magnitude: an 8×H200 instance runs in the ~$50–100+/hour class on-demand — verify current pricing; a full methodology-profile O1 campaign is ~30 hours plus setup. The methodology's O5 cost note applies to any future burn-in.</w:t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3. Provisioning</w:t>
      </w:r>
    </w:p>
    <w:p>
      <w:pPr>
        <w:spacing w:after="70" w:line="270"/>
      </w:pPr>
      <w:r>
        <w:rPr>
          <w:b/>
          <w:bCs/>
          <w:color w:val="262626"/>
          <w:sz w:val="20"/>
          <w:szCs w:val="20"/>
        </w:rPr>
        <w:t xml:space="preserve">AMI: </w:t>
      </w:r>
      <w:r>
        <w:rPr>
          <w:color w:val="262626"/>
          <w:sz w:val="20"/>
          <w:szCs w:val="20"/>
        </w:rPr>
        <w:t xml:space="preserve">AWS Deep Learning Base GPU AMI (Ubuntu 22.04) — NVIDIA driver, Docker, and nvidia-container-toolkit preinstalled. Any AMI works if 'nvidia-smi' and 'docker run --gpus all' function.</w:t>
      </w:r>
    </w:p>
    <w:p>
      <w:pPr>
        <w:spacing w:after="70" w:line="270"/>
      </w:pPr>
      <w:r>
        <w:rPr>
          <w:b/>
          <w:bCs/>
          <w:color w:val="262626"/>
          <w:sz w:val="20"/>
          <w:szCs w:val="20"/>
        </w:rPr>
        <w:t xml:space="preserve">Storage: </w:t>
      </w:r>
      <w:r>
        <w:rPr>
          <w:color w:val="262626"/>
          <w:sz w:val="20"/>
          <w:szCs w:val="20"/>
        </w:rPr>
        <w:t xml:space="preserve">weights live on the instance-store NVMe (fast, but EPHEMERAL — a stop or termination erases it; see §7). Root EBS 200GB is ample since models do not live there.</w:t>
      </w:r>
    </w:p>
    <w:p>
      <w:pPr>
        <w:spacing w:after="130" w:line="270"/>
      </w:pPr>
      <w:r>
        <w:rPr>
          <w:b/>
          <w:bCs/>
          <w:color w:val="262626"/>
          <w:sz w:val="20"/>
          <w:szCs w:val="20"/>
        </w:rPr>
        <w:t xml:space="preserve">Access: </w:t>
      </w:r>
      <w:r>
        <w:rPr>
          <w:color w:val="262626"/>
          <w:sz w:val="20"/>
          <w:szCs w:val="20"/>
        </w:rPr>
        <w:t xml:space="preserve">SSM Session Manager preferred (no inbound SSH exposure); otherwise SSH via the customer's standard bastion pattern.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# provisioning sketch (adapt VPC/subnet/SG/key to account standards)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aws ec2 run-instances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--instance-type p5e.48xlarge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--image-id &lt;deep-learning-base-gpu-ami&gt;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--capacity-reservation-specification CapacityReservationTarget={CapacityReservationId=&lt;cr-id&gt;}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--block-device-mappings 'DeviceName=/dev/sda1,Ebs={VolumeSize=200,VolumeType=gp3}'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--tag-specifications 'ResourceType=instance,Tags=[{Key=Name,Value=hsbc-o1-aws},{Key=engagement,Value=hsbc-gpu-bench}]'</w:t>
            </w:r>
          </w:p>
        </w:tc>
      </w:tr>
    </w:tbl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4. Node Preparation (one-time per instance)</w:t>
      </w: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4.1 Stage the local NVMe and mirror the weights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# RAID the instance-store NVMe and mount as the HF cache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mdadm --create /dev/md0 --level=0 --raid-devices=$(ls /dev/nvme*n1 | grep -vc nvme0) $(ls /dev/nvme*n1 | grep -v nvme0)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mkfs.xfs /dev/md0 &amp;&amp; sudo mkdir -p /opt/huggingface-cache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mount /dev/md0 /opt/huggingface-cache &amp;&amp; sudo chown $USER /opt/huggingface-cache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# mirror weights ONCE, outside any measurement window (~410 GB total)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pip install -U huggingface_hub hf_transfer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export HF_HOME=/opt/huggingface-cache HF_HUB_ENABLE_HF_TRANSFER=1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hf download Qwen/Qwen3.5-122B-A10B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hf download deepseek-ai/DeepSeek-V4-Flash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# faster re-provisioning: sync the cache to same-region S3 afterwards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aws s3 sync /opt/huggingface-cache s3://&lt;bucket&gt;/hf-cache/</w:t>
            </w:r>
          </w:p>
        </w:tc>
      </w:tr>
    </w:tbl>
    <w:p>
      <w:pPr>
        <w:spacing w:after="140"/>
      </w:pP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4.2 Pull the pinned image and bake the DeepSeek fix</w:t>
      </w:r>
    </w:p>
    <w:p>
      <w:pPr>
        <w:spacing w:after="130" w:line="270"/>
      </w:pPr>
      <w:r>
        <w:rPr>
          <w:color w:val="262626"/>
          <w:sz w:val="20"/>
          <w:szCs w:val="20"/>
        </w:rPr>
        <w:t xml:space="preserve">Pull by DIGEST, never by tag — the digest must match the value recorded in the engagement artefact repo from the on-prem NVIDIA runs, or the cells are not comparable.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pull vllm/vllm-openai@sha256:&lt;digest-from-artefact-repo&gt;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cat &gt; Dockerfile &lt;&lt;'EOF'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FROM vllm/vllm-openai@sha256:&lt;digest-from-artefact-repo&gt;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RUN pip uninstall -y nvidia-cutlass-dsl nvidia-cutlass-dsl-libs-base nvidia-cutlass-dsl-libs-cu13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&amp;&amp; pip install nvidia-cutlass-dsl==4.5.1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EOF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build -t wwt/vllm-bench:o1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inspect --format='{{index .RepoDigests 0}}' wwt/vllm-bench:o1  # record</w:t>
            </w:r>
          </w:p>
        </w:tc>
      </w:tr>
    </w:tbl>
    <w:p>
      <w:pPr>
        <w:spacing w:after="140"/>
      </w:pP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4.3 Place the harness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mkdir -p ~/gpubench &amp;&amp; cd ~/gpubench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# copy run_o1_benchmark_v2.py from the engagement artefact repo, then verify: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grep -m1 closedloop run_o1_benchmark_v2.py &amp;&amp; echo CURRENT || echo STALE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5. Runtime Commands</w:t>
      </w: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5.1 Capture the manifest identity (once per instance)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TOKEN=$(curl -s -X PUT http://169.254.169.254/latest/api/token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      -H 'X-aws-ec2-metadata-token-ttl-seconds: 300')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AZ=$(curl -s -H "X-aws-ec2-metadata-token: $TOKEN"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   http://169.254.169.254/latest/meta-data/placement/availability-zone)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ITYPE=$(curl -s -H "X-aws-ec2-metadata-token: $TOKEN"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   http://169.254.169.254/latest/meta-data/instance-type)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echo "az=$AZ type=$ITYPE"    # feed these to --region-zone / --pod-label</w:t>
            </w:r>
          </w:p>
        </w:tc>
      </w:tr>
    </w:tbl>
    <w:p>
      <w:pPr>
        <w:spacing w:after="140"/>
      </w:pP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5.2 Validate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run --rm --gpus all --ipc=host --shm-size=32g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/opt/huggingface-cache:/root/.cache/huggingface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~/gpubench:/work -w /work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-e HF_HUB_OFFLINE=1 --entrypoint python3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wwt/vllm-bench:o1 run_o1_benchmark_v2.py --validate-only</w:t>
            </w:r>
          </w:p>
        </w:tc>
      </w:tr>
    </w:tbl>
    <w:p>
      <w:pPr>
        <w:spacing w:after="140"/>
      </w:pPr>
    </w:p>
    <w:p>
      <w:pPr>
        <w:spacing w:after="130" w:line="270"/>
      </w:pPr>
      <w:r>
        <w:rPr>
          <w:color w:val="262626"/>
          <w:sz w:val="20"/>
          <w:szCs w:val="20"/>
        </w:rPr>
        <w:t xml:space="preserve">Record the reported HBM GiB — the methodology's O1 CSP note requires nominal vs effective memory per environment. Hypervisor overhead typically shows ~139–140 GiB effective on p5e; a materially lower figure goes in the manifest notes.</w:t>
      </w: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5.3 Smoke test (single cell, ~15 min)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rm -f o1smoke 2&gt;/dev/null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run -d --name o1smoke --gpus all --ipc=host --shm-size=32g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/opt/huggingface-cache:/root/.cache/huggingface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~/gpubench:/work -w /work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-e HF_HUB_OFFLINE=1 --entrypoint python3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wwt/vllm-bench:o1 run_o1_benchmark_v2.py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--models qwen --profile quick --context-lengths 2048 --block-sizes 16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--environment aws --region-zone $AZ --pod-label $ITYPE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--operator &lt;name&gt; --out /work/o1_smoke_aws.csv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logs -f --tail 50 o1smoke</w:t>
            </w:r>
          </w:p>
        </w:tc>
      </w:tr>
    </w:tbl>
    <w:p>
      <w:pPr>
        <w:spacing w:after="140"/>
      </w:pPr>
    </w:p>
    <w:p>
      <w:pPr>
        <w:pStyle w:val="Heading2"/>
        <w:spacing w:after="90" w:before="190"/>
      </w:pPr>
      <w:r>
        <w:rPr>
          <w:b/>
          <w:bCs/>
          <w:color w:val="0086EA"/>
          <w:sz w:val="22"/>
          <w:szCs w:val="22"/>
        </w:rPr>
        <w:t xml:space="preserve">5.4 Full campaign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9880"/>
      </w:tblGrid>
      <w:tr>
        <w:tc>
          <w:tcPr>
            <w:tcW w:type="dxa" w:w="988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rm -f o1run 2&gt;/dev/null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sudo docker run -d --name o1run --gpus all --ipc=host --shm-size=32g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/opt/huggingface-cache:/root/.cache/huggingface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-v ~/gpubench:/work -w /work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-e HF_HUB_OFFLINE=1 --entrypoint python3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wwt/vllm-bench:o1 run_o1_benchmark_v2.py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--profile methodology --verify-sha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--environment aws --region-zone $AZ --pod-label $ITYPE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6"/>
                <w:szCs w:val="16"/>
              </w:rPr>
              <w:t xml:space="preserve">  --operator &lt;name&gt; --out /work/o1_aws.csv</w:t>
            </w:r>
          </w:p>
        </w:tc>
      </w:tr>
    </w:tbl>
    <w:p>
      <w:pPr>
        <w:spacing w:after="140"/>
      </w:pPr>
    </w:p>
    <w:p>
      <w:pPr>
        <w:spacing w:after="130" w:line="270"/>
      </w:pPr>
      <w:r>
        <w:rPr>
          <w:color w:val="262626"/>
          <w:sz w:val="20"/>
          <w:szCs w:val="20"/>
        </w:rPr>
        <w:t xml:space="preserve">Detached by design: the run survives SSH/SSM disconnects. Re-launching the identical command resumes — completed cells are skipped from the CSV. Ship the CSV to the WWT artefact repo within 24 hours of completion (submission cadence, Appendix B).</w:t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6. AWS-Specific Measurement Notes</w:t>
      </w:r>
    </w:p>
    <w:p>
      <w:pPr>
        <w:spacing w:after="70" w:line="270"/>
      </w:pPr>
      <w:r>
        <w:rPr>
          <w:b/>
          <w:bCs/>
          <w:color w:val="262626"/>
          <w:sz w:val="20"/>
          <w:szCs w:val="20"/>
        </w:rPr>
        <w:t xml:space="preserve">Capacity type: </w:t>
      </w:r>
      <w:r>
        <w:rPr>
          <w:color w:val="262626"/>
          <w:sz w:val="20"/>
          <w:szCs w:val="20"/>
        </w:rPr>
        <w:t xml:space="preserve">on-demand or reserved only for timed cells. If spot is ever used for scratch work, preempted cells are invalid unless tagged in cloud_equivalence_note.</w:t>
      </w:r>
    </w:p>
    <w:p>
      <w:pPr>
        <w:spacing w:after="70" w:line="270"/>
      </w:pPr>
      <w:r>
        <w:rPr>
          <w:b/>
          <w:bCs/>
          <w:color w:val="262626"/>
          <w:sz w:val="20"/>
          <w:szCs w:val="20"/>
        </w:rPr>
        <w:t xml:space="preserve">Single-node scope: </w:t>
      </w:r>
      <w:r>
        <w:rPr>
          <w:color w:val="262626"/>
          <w:sz w:val="20"/>
          <w:szCs w:val="20"/>
        </w:rPr>
        <w:t xml:space="preserve">O1 is TP8 inside one instance over NVLink; EFA/multi-node networking is not exercised and needs no configuration.</w:t>
      </w:r>
    </w:p>
    <w:p>
      <w:pPr>
        <w:spacing w:after="70" w:line="270"/>
      </w:pPr>
      <w:r>
        <w:rPr>
          <w:b/>
          <w:bCs/>
          <w:color w:val="262626"/>
          <w:sz w:val="20"/>
          <w:szCs w:val="20"/>
        </w:rPr>
        <w:t xml:space="preserve">Virtualisation delta: </w:t>
      </w:r>
      <w:r>
        <w:rPr>
          <w:color w:val="262626"/>
          <w:sz w:val="20"/>
          <w:szCs w:val="20"/>
        </w:rPr>
        <w:t xml:space="preserve">expect a small effective-HBM reduction and potentially a few percent latency overhead vs bare-metal on-prem — this is precisely the comparison the engagement exists to quantify, so do not tune around it; record and run.</w:t>
      </w:r>
    </w:p>
    <w:p>
      <w:pPr>
        <w:spacing w:after="130" w:line="270"/>
      </w:pPr>
      <w:r>
        <w:rPr>
          <w:b/>
          <w:bCs/>
          <w:color w:val="262626"/>
          <w:sz w:val="20"/>
          <w:szCs w:val="20"/>
        </w:rPr>
        <w:t xml:space="preserve">Time sync: </w:t>
      </w:r>
      <w:r>
        <w:rPr>
          <w:color w:val="262626"/>
          <w:sz w:val="20"/>
          <w:szCs w:val="20"/>
        </w:rPr>
        <w:t xml:space="preserve">run_start_utc comes from the instance clock; chrony/Amazon Time Sync is on by default in the DLAMI — leave it.</w:t>
      </w:r>
    </w:p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7. Cost &amp; Data Hygiene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3000"/>
        <w:gridCol w:w="6880"/>
      </w:tblGrid>
      <w:tr>
        <w:tc>
          <w:tcPr>
            <w:tcW w:type="dxa" w:w="300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8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30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Run-time budget</w:t>
            </w:r>
          </w:p>
        </w:tc>
        <w:tc>
          <w:tcPr>
            <w:tcW w:type="dxa" w:w="68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Smoke ~0.5h · qwen mini-sweep ~8h · full methodology O1 ~30h. Align the Capacity Block window to the plan plus ~4h setup margin.</w:t>
            </w:r>
          </w:p>
        </w:tc>
      </w:tr>
      <w:tr>
        <w:tc>
          <w:tcPr>
            <w:tcW w:type="dxa" w:w="3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STOP ≠ safe</w:t>
            </w:r>
          </w:p>
        </w:tc>
        <w:tc>
          <w:tcPr>
            <w:tcW w:type="dxa" w:w="68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Instance-store NVMe is erased on stop/terminate — the 410GB weight mirror dies with it. Re-hydrate from the same-region S3 bucket (§4.1), not from Hugging Face.</w:t>
            </w:r>
          </w:p>
        </w:tc>
      </w:tr>
      <w:tr>
        <w:tc>
          <w:tcPr>
            <w:tcW w:type="dxa" w:w="30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Idle burn</w:t>
            </w:r>
          </w:p>
        </w:tc>
        <w:tc>
          <w:tcPr>
            <w:tcW w:type="dxa" w:w="68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An idle p5e still bills. Terminate between planned windows; re-provisioning from S3 + this runbook is &lt; 1 hour.</w:t>
            </w:r>
          </w:p>
        </w:tc>
      </w:tr>
      <w:tr>
        <w:tc>
          <w:tcPr>
            <w:tcW w:type="dxa" w:w="3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Results</w:t>
            </w:r>
          </w:p>
        </w:tc>
        <w:tc>
          <w:tcPr>
            <w:tcW w:type="dxa" w:w="68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The CSV lives on EBS (~/gpubench) and survives stop; copy to S3 at end of every session anyway.</w:t>
            </w:r>
          </w:p>
        </w:tc>
      </w:tr>
      <w:tr>
        <w:tc>
          <w:tcPr>
            <w:tcW w:type="dxa" w:w="30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Tagging</w:t>
            </w:r>
          </w:p>
        </w:tc>
        <w:tc>
          <w:tcPr>
            <w:tcW w:type="dxa" w:w="68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Tag everything with the engagement key — the TCO analysis will want the Cost Explorer slice.</w:t>
            </w:r>
          </w:p>
        </w:tc>
      </w:tr>
    </w:tbl>
    <w:p>
      <w:pPr>
        <w:pStyle w:val="Heading1"/>
        <w:spacing w:after="110" w:before="260"/>
      </w:pPr>
      <w:r>
        <w:rPr>
          <w:b/>
          <w:bCs/>
          <w:color w:val="1D1E48"/>
          <w:sz w:val="28"/>
          <w:szCs w:val="28"/>
        </w:rPr>
        <w:t xml:space="preserve">8. Troubleshooting</w:t>
      </w:r>
    </w:p>
    <w:tbl>
      <w:tblPr>
        <w:tblW w:type="dxa" w:w="9880"/>
        <w:tblBorders>
          <w:top w:val="single" w:color="D5DCE8" w:sz="4"/>
          <w:left w:val="single" w:color="D5DCE8" w:sz="4"/>
          <w:bottom w:val="single" w:color="D5DCE8" w:sz="4"/>
          <w:right w:val="single" w:color="D5DCE8" w:sz="4"/>
          <w:insideH w:val="single" w:color="D5DCE8" w:sz="4"/>
          <w:insideV w:val="single" w:color="D5DCE8" w:sz="4"/>
        </w:tblBorders>
      </w:tblPr>
      <w:tblGrid>
        <w:gridCol w:w="3200"/>
        <w:gridCol w:w="6680"/>
      </w:tblGrid>
      <w:tr>
        <w:tc>
          <w:tcPr>
            <w:tcW w:type="dxa" w:w="320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680"/>
            <w:shd w:fill="1D1E4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InsufficientInstanceCapacity</w:t>
            </w:r>
          </w:p>
        </w:tc>
        <w:tc>
          <w:tcPr>
            <w:tcW w:type="dxa" w:w="66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Use a Capacity Block / ODCR; try alternate AZs in-region before changing region (record region_zone per row regardless)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Quota denied (vCPU limit)</w:t>
            </w:r>
          </w:p>
        </w:tc>
        <w:tc>
          <w:tcPr>
            <w:tcW w:type="dxa" w:w="66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Request P-instance vCPU quota (192 vCPUs for one p5e) via Service Quotas ahead of the window</w:t>
            </w:r>
          </w:p>
        </w:tc>
      </w:tr>
      <w:tr>
        <w:tc>
          <w:tcPr>
            <w:tcW w:type="dxa" w:w="32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Validation: HBM floor failure</w:t>
            </w:r>
          </w:p>
        </w:tc>
        <w:tc>
          <w:tcPr>
            <w:tcW w:type="dxa" w:w="66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Wrong SKU (p5 H100 vs p5e H200) — check instance-type metadata; H100 is fallback-only with a comparability flag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Weights 'not found'</w:t>
            </w:r>
          </w:p>
        </w:tc>
        <w:tc>
          <w:tcPr>
            <w:tcW w:type="dxa" w:w="66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The NVMe mount or S3 re-hydration was skipped after a stop/start — §4.1; the error lists every path searched</w:t>
            </w:r>
          </w:p>
        </w:tc>
      </w:tr>
      <w:tr>
        <w:tc>
          <w:tcPr>
            <w:tcW w:type="dxa" w:w="320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Container name conflict</w:t>
            </w:r>
          </w:p>
        </w:tc>
        <w:tc>
          <w:tcPr>
            <w:tcW w:type="dxa" w:w="6680"/>
            <w:shd w:fill="F4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docker rm -f o1run and relaunch (rm -f pre-step included above)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Engine core init failure</w:t>
            </w:r>
          </w:p>
        </w:tc>
        <w:tc>
          <w:tcPr>
            <w:tcW w:type="dxa" w:w="668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8"/>
                <w:szCs w:val="18"/>
              </w:rPr>
              <w:t xml:space="preserve">Confirm --ipc=host and shm-size are present; confirm the image is the pinned digest, not a floating tag</w:t>
            </w:r>
          </w:p>
        </w:tc>
      </w:tr>
    </w:tbl>
    <w:p>
      <w:pPr>
        <w:spacing w:after="140"/>
      </w:pPr>
    </w:p>
    <w:p>
      <w:pPr>
        <w:spacing w:after="130" w:line="270"/>
      </w:pPr>
      <w:r>
        <w:rPr>
          <w:i/>
          <w:iCs/>
          <w:color w:val="0086EA"/>
          <w:sz w:val="20"/>
          <w:szCs w:val="20"/>
        </w:rPr>
        <w:t xml:space="preserve">Make a new world happen.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2026-07-28T18:40:44.417Z</dcterms:created>
  <dcterms:modified xsi:type="dcterms:W3CDTF">2026-07-28T18:40:44.418Z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