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</w:rPr>
        <w:t>Predictia Pretului Actiunilor folosind Retele Neuronale LSTM</w:t>
      </w:r>
    </w:p>
    <w:p>
      <w:pPr>
        <w:jc w:val="center"/>
      </w:pPr>
      <w:r>
        <w:rPr>
          <w:color w:val="505050"/>
        </w:rPr>
        <w:t>NYSE 2001-2025 | JPMorgan Chase (JPM)</w:t>
      </w:r>
    </w:p>
    <w:p/>
    <w:p>
      <w:pPr>
        <w:jc w:val="center"/>
      </w:pPr>
      <w:r>
        <w:rPr>
          <w:b/>
        </w:rPr>
        <w:t>Proiect Deep Learning - Rezultate si Interpretari</w:t>
        <w:br/>
      </w:r>
      <w:r>
        <w:t>Materie: Retele neuronale si tehnici de Deep Learning</w:t>
        <w:br/>
      </w:r>
      <w:r>
        <w:t>Set de date: NYSE (New York Stock Exchange)</w:t>
        <w:br/>
      </w:r>
      <w:r>
        <w:t>Ticker analizat: JPM (JPMorgan Chase &amp; Co.)</w:t>
        <w:br/>
      </w:r>
      <w:r>
        <w:t>Perioada: 2001-2025 (932 zile de test)</w:t>
      </w:r>
    </w:p>
    <w:p>
      <w:r>
        <w:br w:type="page"/>
      </w:r>
    </w:p>
    <w:p>
      <w:pPr>
        <w:pStyle w:val="Heading1"/>
      </w:pPr>
      <w:r>
        <w:t>1. Introducere</w:t>
      </w:r>
    </w:p>
    <w:p>
      <w:r>
        <w:t>Acest proiect implementeaza un model de retea neuronala recurenta de tip LSTM (Long Short-Term Memory) pentru predictia pretului de inchidere al actiunilor JPMorgan Chase (JPM) tranzactionate pe bursa NYSE.</w:t>
      </w:r>
    </w:p>
    <w:p>
      <w:r>
        <w:t>Obiectivul principal este de a prezice pretul Close al zilei urmatoare (horizon = 1 zi) pe baza unei ferestre de 30 de zile de tranzactionare anterioare, utilizand atat variabilele OHLCV (Open, High, Low, Close, Volume), cat si indicatori tehnici derivati din acestea.</w:t>
      </w:r>
    </w:p>
    <w:p>
      <w:pPr>
        <w:pStyle w:val="Heading1"/>
      </w:pPr>
      <w:r>
        <w:t>2. Descrierea Setului de Date</w:t>
      </w:r>
    </w:p>
    <w:p>
      <w:pPr>
        <w:pStyle w:val="Heading2"/>
      </w:pPr>
      <w:r>
        <w:t>2.1 Sursa si structura</w:t>
      </w:r>
    </w:p>
    <w:p>
      <w:r>
        <w:t>Setul de date contine inregistrarile istorice de tranzactionare de pe NYSE pentru perioada 1 ianuarie 2001 - 31 decembrie 2025. Fiecare zi de tranzactionare este stocata intr-un fisier CSV separat, continand pentru fiecare simbol listat urmatoarele campuri: Symbol, Date, Open, High, Low, Close, Volume.</w:t>
      </w:r>
    </w:p>
    <w:p>
      <w:pPr>
        <w:pStyle w:val="Heading2"/>
      </w:pPr>
      <w:r>
        <w:t>2.2 Selectia ticker-ului</w:t>
      </w:r>
    </w:p>
    <w:p>
      <w:r>
        <w:t>A fost selectat ticker-ul JPM (JPMorgan Chase &amp; Co.), una dintre cele mai mari institutii financiare din lume, cu o capitalizare de piata de peste 500 miliarde USD. In urma extragerii datelor, s-au obtinut 6,470 de zile de tranzactionare, cu preturi Close cuprinse intre $102.92 si $327.58.</w:t>
      </w:r>
    </w:p>
    <w:p>
      <w:pPr>
        <w:pStyle w:val="Heading2"/>
      </w:pPr>
      <w:r>
        <w:t>2.3 Impartirea datelor</w:t>
      </w:r>
    </w:p>
    <w:p>
      <w:r>
        <w:t>Setul de date a fost impartit cronologic (nu aleatoriu, pentru a respecta structura temporala) in trei subseturi: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Perioada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Nr. zile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Procent</w:t>
            </w:r>
          </w:p>
        </w:tc>
      </w:tr>
      <w:tr>
        <w:tc>
          <w:tcPr>
            <w:tcW w:type="dxa" w:w="2160"/>
          </w:tcPr>
          <w:p>
            <w:r>
              <w:t>Antrenare</w:t>
            </w:r>
          </w:p>
        </w:tc>
        <w:tc>
          <w:tcPr>
            <w:tcW w:type="dxa" w:w="2160"/>
          </w:tcPr>
          <w:p>
            <w:r>
              <w:t>Mar 2001 - Mai 2018</w:t>
            </w:r>
          </w:p>
        </w:tc>
        <w:tc>
          <w:tcPr>
            <w:tcW w:type="dxa" w:w="2160"/>
          </w:tcPr>
          <w:p>
            <w:r>
              <w:t>4,480</w:t>
            </w:r>
          </w:p>
        </w:tc>
        <w:tc>
          <w:tcPr>
            <w:tcW w:type="dxa" w:w="2160"/>
          </w:tcPr>
          <w:p>
            <w:r>
              <w:t>70%</w:t>
            </w:r>
          </w:p>
        </w:tc>
      </w:tr>
      <w:tr>
        <w:tc>
          <w:tcPr>
            <w:tcW w:type="dxa" w:w="2160"/>
          </w:tcPr>
          <w:p>
            <w:r>
              <w:t>Validare</w:t>
            </w:r>
          </w:p>
        </w:tc>
        <w:tc>
          <w:tcPr>
            <w:tcW w:type="dxa" w:w="2160"/>
          </w:tcPr>
          <w:p>
            <w:r>
              <w:t>Iun 2018 - Mar 2022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Testare</w:t>
            </w:r>
          </w:p>
        </w:tc>
        <w:tc>
          <w:tcPr>
            <w:tcW w:type="dxa" w:w="2160"/>
          </w:tcPr>
          <w:p>
            <w:r>
              <w:t>Mar 2022 - Dec 2025</w:t>
            </w:r>
          </w:p>
        </w:tc>
        <w:tc>
          <w:tcPr>
            <w:tcW w:type="dxa" w:w="2160"/>
          </w:tcPr>
          <w:p>
            <w:r>
              <w:t>947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</w:tbl>
    <w:p/>
    <w:p>
      <w:pPr>
        <w:pStyle w:val="Heading1"/>
      </w:pPr>
      <w:r>
        <w:t>3. Preprocesarea Datelor si Feature Engineering</w:t>
      </w:r>
    </w:p>
    <w:p>
      <w:pPr>
        <w:pStyle w:val="Heading2"/>
      </w:pPr>
      <w:r>
        <w:t>3.1 Variabile de intrare (Features)</w:t>
      </w:r>
    </w:p>
    <w:p>
      <w:r>
        <w:t>Modelul utilizeaza 12 variabile de intrare stationare pentru a preveni domain-shift-ul, combinand randamente, oscilatori si deviatii procentuale:</w:t>
      </w:r>
    </w:p>
    <w:p>
      <w:r>
        <w:rPr>
          <w:b/>
        </w:rPr>
        <w:t xml:space="preserve">• LogReturn: </w:t>
      </w:r>
      <w:r>
        <w:t>Randamentul logaritmic zilnic: ln(Close_t / Close_{t-1}).</w:t>
      </w:r>
    </w:p>
    <w:p>
      <w:r>
        <w:rPr>
          <w:b/>
        </w:rPr>
        <w:t xml:space="preserve">• HL_Range_pct: </w:t>
      </w:r>
      <w:r>
        <w:t>Diferenta High-Low raportata la Close (staționară).</w:t>
      </w:r>
    </w:p>
    <w:p>
      <w:r>
        <w:rPr>
          <w:b/>
        </w:rPr>
        <w:t xml:space="preserve">• RSI_14: </w:t>
      </w:r>
      <w:r>
        <w:t>Relative Strength Index calculated over a 14-day window.</w:t>
      </w:r>
    </w:p>
    <w:p>
      <w:r>
        <w:rPr>
          <w:b/>
        </w:rPr>
        <w:t xml:space="preserve">• BB_Width: </w:t>
      </w:r>
      <w:r>
        <w:t>Latimea Bollinger Bands raportata la SMA 20.</w:t>
      </w:r>
    </w:p>
    <w:p>
      <w:r>
        <w:rPr>
          <w:b/>
        </w:rPr>
        <w:t xml:space="preserve">• RV_5: </w:t>
      </w:r>
      <w:r>
        <w:t>Volatilitatea realizata pe 5 zile.</w:t>
      </w:r>
    </w:p>
    <w:p>
      <w:r>
        <w:rPr>
          <w:b/>
        </w:rPr>
        <w:t xml:space="preserve">• Volume_Ratio: </w:t>
      </w:r>
      <w:r>
        <w:t>Raportul dintre volumul zilnic si media sa pe 5 zile.</w:t>
      </w:r>
    </w:p>
    <w:p>
      <w:r>
        <w:rPr>
          <w:b/>
        </w:rPr>
        <w:t xml:space="preserve">• SMA_5_ratio, SMA_20_ratio: </w:t>
      </w:r>
      <w:r>
        <w:t>Deviatia procentuala a pretului Close fata de mediile mobile pe 5 si 20 de zile.</w:t>
      </w:r>
    </w:p>
    <w:p>
      <w:r>
        <w:rPr>
          <w:b/>
        </w:rPr>
        <w:t xml:space="preserve">• MACD_ratio: </w:t>
      </w:r>
      <w:r>
        <w:t>MACD raportat la pretul Close.</w:t>
      </w:r>
    </w:p>
    <w:p>
      <w:r>
        <w:rPr>
          <w:b/>
        </w:rPr>
        <w:t xml:space="preserve">• Open_pct, High_pct, Low_pct: </w:t>
      </w:r>
      <w:r>
        <w:t>Deviatia procentuala a preturilor Open, High si Low fata de Close.</w:t>
      </w:r>
    </w:p>
    <w:p>
      <w:pPr>
        <w:pStyle w:val="Heading2"/>
      </w:pPr>
      <w:r>
        <w:t>3.2 Normalizare</w:t>
      </w:r>
    </w:p>
    <w:p>
      <w:r>
        <w:t>Toate variabilele de intrare si iesire au fost normalizate folosind StandardScaler (medie 0, deviatie standard 1). Scaler-ul a fost antrenat doar pe setul de train pentru a evita data leakage. Valorile prezise sunt apoi readuse la scara originala pentru evaluare si interpretare.</w:t>
      </w:r>
    </w:p>
    <w:p>
      <w:pPr>
        <w:pStyle w:val="Heading2"/>
      </w:pPr>
      <w:r>
        <w:t>3.3 Crearea secventelor</w:t>
      </w:r>
    </w:p>
    <w:p>
      <w:r>
        <w:t>Pentru a alimenta modelul LSTM, datele au fost transformate in secvente sliding window de 8 de zile. Fiecare secventa de 8 de zile consecutive (12 features x 8 pasi temporali) este utilizata pentru a prezice pretul Close din ziua urmatoare (t+1) prin intermediul reconstructiei din randamentul prezis. Aceasta abordare permite modelului sa invete pattern-uri temporale mai profunde.</w:t>
      </w:r>
    </w:p>
    <w:p>
      <w:pPr>
        <w:pStyle w:val="Heading1"/>
      </w:pPr>
      <w:r>
        <w:t>4. Arhitectura Modelului LSTM</w:t>
      </w:r>
    </w:p>
    <w:p>
      <w:pPr>
        <w:pStyle w:val="Heading2"/>
      </w:pPr>
      <w:r>
        <w:t>4.1 Motivatie</w:t>
      </w:r>
    </w:p>
    <w:p>
      <w:r>
        <w:t>LSTM (Long Short-Term Memory) a fost ales deoarece:</w:t>
      </w:r>
    </w:p>
    <w:p>
      <w:pPr>
        <w:pStyle w:val="ListBullet"/>
      </w:pPr>
      <w:r>
        <w:t>Este specializat in modelarea dependentelor temporale pe termen lung si scurt, fiind ideal pentru serii financiare care prezinta autocorelatie.</w:t>
      </w:r>
    </w:p>
    <w:p>
      <w:pPr>
        <w:pStyle w:val="ListBullet"/>
      </w:pPr>
      <w:r>
        <w:t>Mecanismul de gates (forget, input, output) previne problema vanishing gradient, permitand propagarea informatiei relevante pe distante temporale mari.</w:t>
      </w:r>
    </w:p>
    <w:p>
      <w:pPr>
        <w:pStyle w:val="ListBullet"/>
      </w:pPr>
      <w:r>
        <w:t>Comparativ cu RNN-urile simple, LSTM retine selectiv informatia, eliminand zgomotul si pastrand semnalele predictive.</w:t>
      </w:r>
    </w:p>
    <w:p>
      <w:pPr>
        <w:pStyle w:val="ListBullet"/>
      </w:pPr>
      <w:r>
        <w:t>In literatura de specialitate, LSTM este unul dintre cele mai utilizate modele pentru predictia seriilor financiare, cu rezultate superioare ARIMA si GARCH.</w:t>
      </w:r>
    </w:p>
    <w:p>
      <w:pPr>
        <w:pStyle w:val="Heading2"/>
      </w:pPr>
      <w:r>
        <w:t>4.2 Structura</w:t>
      </w:r>
    </w:p>
    <w:p>
      <w:r>
        <w:t>Modelul are urmatoarea configuratie: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Input size</w:t>
            </w:r>
          </w:p>
        </w:tc>
        <w:tc>
          <w:tcPr>
            <w:tcW w:type="dxa" w:w="4320"/>
          </w:tcPr>
          <w:p>
            <w:r>
              <w:t>12 features stationare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Hidden size</w:t>
            </w:r>
          </w:p>
        </w:tc>
        <w:tc>
          <w:tcPr>
            <w:tcW w:type="dxa" w:w="4320"/>
          </w:tcPr>
          <w:p>
            <w:r>
              <w:t>32 neuroni in straturile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Numar straturi</w:t>
            </w:r>
          </w:p>
        </w:tc>
        <w:tc>
          <w:tcPr>
            <w:tcW w:type="dxa" w:w="4320"/>
          </w:tcPr>
          <w:p>
            <w:r>
              <w:t>4 straturi LSTM (Deep LSTM)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Dropout</w:t>
            </w:r>
          </w:p>
        </w:tc>
        <w:tc>
          <w:tcPr>
            <w:tcW w:type="dxa" w:w="4320"/>
          </w:tcPr>
          <w:p>
            <w:r>
              <w:t>0.20 (20% regularizare pentru prevenirea overfitting-ului)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t>1 (predictia return-ului t+1)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Parametri totali</w:t>
            </w:r>
          </w:p>
        </w:tc>
        <w:tc>
          <w:tcPr>
            <w:tcW w:type="dxa" w:w="4320"/>
          </w:tcPr>
          <w:p>
            <w:r>
              <w:t>31,265 antrenabili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Functia de loss</w:t>
            </w:r>
          </w:p>
        </w:tc>
        <w:tc>
          <w:tcPr>
            <w:tcW w:type="dxa" w:w="4320"/>
          </w:tcPr>
          <w:p>
            <w:r>
              <w:t>MSE (Mean Squared Error) pe return-uri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4.3 Hiperparametri de antrenare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Epoci maximum</w:t>
            </w:r>
          </w:p>
        </w:tc>
        <w:tc>
          <w:tcPr>
            <w:tcW w:type="dxa" w:w="4320"/>
          </w:tcPr>
          <w:p>
            <w:r>
              <w:t>150 (cu early stopping, patience=50)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Learning rate</w:t>
            </w:r>
          </w:p>
        </w:tc>
        <w:tc>
          <w:tcPr>
            <w:tcW w:type="dxa" w:w="4320"/>
          </w:tcPr>
          <w:p>
            <w:r>
              <w:t>1e-3 (0.001) cu scheduler ReduceLROnPlateau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Optimizator</w:t>
            </w:r>
          </w:p>
        </w:tc>
        <w:tc>
          <w:tcPr>
            <w:tcW w:type="dxa" w:w="4320"/>
          </w:tcPr>
          <w:p>
            <w:r>
              <w:t>Adam (weight decay = 1e-5)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Gradient clipping</w:t>
            </w:r>
          </w:p>
        </w:tc>
        <w:tc>
          <w:tcPr>
            <w:tcW w:type="dxa" w:w="4320"/>
          </w:tcPr>
          <w:p>
            <w:r>
              <w:t>max norm = 1.0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5. Rezultatele Antrenarii si Evaluarii</w:t>
      </w:r>
    </w:p>
    <w:p>
      <w:pPr>
        <w:pStyle w:val="Heading2"/>
      </w:pPr>
      <w:r>
        <w:t>5.1 Evolutia functiei de pierdere</w:t>
      </w:r>
    </w:p>
    <w:p>
      <w:r>
        <w:t>Graficul de mai jos prezinta evolutia functiei de pierdere (MSE) pe seturile de antrenare si validare pe parcursul epocilor de antrenare.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_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observa o scadere rapida a pierderii in primele 10-15 epoci, urmata de o stabilizare. Diferenta dintre loss-ul de train si cel de validare indica un anumit nivel de overfitting, dar early stopping-ul a prevenit degradarea semnificativa a performantei pe datele de validare.</w:t>
      </w:r>
    </w:p>
    <w:p>
      <w:pPr>
        <w:pStyle w:val="Heading2"/>
      </w:pPr>
      <w:r>
        <w:t>5.2 Predictii vs Valori Reale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55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compara valorile reale ale pretului Close (albastru) cu predictiile modelului LSTM (portocaliu) pe setul de test (martie 2022 - decembrie 2025). Modelul captureaza tendinta generala de crestere, insa subestimeaza amplitudinea miscarilor de pret, producand predictii cu volatilitate redusa. Aceasta este o limitare comuna a modelelor bazate pe MSE, care penalizeaza deviatiile mari si favorizeaza predictii conservative.</w:t>
      </w:r>
    </w:p>
    <w:p>
      <w:pPr>
        <w:pStyle w:val="Heading2"/>
      </w:pPr>
      <w:r>
        <w:t>5.3 Graficul de dispersie (Predictii vs Reale)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Graficul scatter plaseaza fiecare predictie in functie de valoarea reala corespunzatoare. Linia rosie punctata reprezinta predictia perfecta (y=x). Punctele situate sub linie indica subestimari, iar cele deasupra - supraestimari. Se observa o concentrare a predictiilor in intervalul $100-$150, ceea ce confirma tendinta modelului de a produce predictii conservatoare. Pentru valori reale peste $200, modelul subestimeaza sistematic.</w:t>
      </w:r>
    </w:p>
    <w:p>
      <w:pPr>
        <w:pStyle w:val="Heading2"/>
      </w:pPr>
      <w:r>
        <w:t>5.4 Distributia erorilor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du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Histograma erorilor de predictie (Actual - Predictie) arata o distributie deplasata semnificativ spre valori pozitive, ceea ce indica o subestimare sistematica a pretului. Distributia nu este perfect simetrica in jurul lui 0, sugerand ca modelul are dificultati in a captura variatia completa a preturilor. Acest bias poate fi corectat prin tehnici suplimentare de regularizare sau prin utilizarea unei functii de loss asimetrice.</w:t>
      </w:r>
    </w:p>
    <w:p>
      <w:pPr>
        <w:pStyle w:val="Heading1"/>
      </w:pPr>
      <w:r>
        <w:t>6. Metrici de Performanta</w:t>
      </w:r>
    </w:p>
    <w:p>
      <w:r>
        <w:t>Performanta modelului a fost evaluata folosind mai multe metrici complementare, fiecare capturand un aspect diferit al calitatii predictiilor: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Valoare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Interpretare</w:t>
            </w:r>
          </w:p>
        </w:tc>
      </w:tr>
      <w:tr>
        <w:tc>
          <w:tcPr>
            <w:tcW w:type="dxa" w:w="2880"/>
          </w:tcPr>
          <w:p>
            <w:r>
              <w:t>MSE (Mean Squared Error)</w:t>
            </w:r>
          </w:p>
        </w:tc>
        <w:tc>
          <w:tcPr>
            <w:tcW w:type="dxa" w:w="2880"/>
          </w:tcPr>
          <w:p>
            <w:r>
              <w:t>9.02</w:t>
            </w:r>
          </w:p>
        </w:tc>
        <w:tc>
          <w:tcPr>
            <w:tcW w:type="dxa" w:w="2880"/>
          </w:tcPr>
          <w:p>
            <w:r>
              <w:t>Eroarea patratica medie. Penalizeaza puternic erorile mari.</w:t>
            </w:r>
          </w:p>
        </w:tc>
      </w:tr>
      <w:tr>
        <w:tc>
          <w:tcPr>
            <w:tcW w:type="dxa" w:w="2880"/>
          </w:tcPr>
          <w:p>
            <w:r>
              <w:t>RMSE (Root MSE)</w:t>
            </w:r>
          </w:p>
        </w:tc>
        <w:tc>
          <w:tcPr>
            <w:tcW w:type="dxa" w:w="2880"/>
          </w:tcPr>
          <w:p>
            <w:r>
              <w:t>3.00 USD</w:t>
            </w:r>
          </w:p>
        </w:tc>
        <w:tc>
          <w:tcPr>
            <w:tcW w:type="dxa" w:w="2880"/>
          </w:tcPr>
          <w:p>
            <w:r>
              <w:t>Eroarea medie in aceleasi unitati ca pretul (~1.6% din pretul mediu).</w:t>
            </w:r>
          </w:p>
        </w:tc>
      </w:tr>
      <w:tr>
        <w:tc>
          <w:tcPr>
            <w:tcW w:type="dxa" w:w="2880"/>
          </w:tcPr>
          <w:p>
            <w:r>
              <w:t>MAE (Mean Absolute Error)</w:t>
            </w:r>
          </w:p>
        </w:tc>
        <w:tc>
          <w:tcPr>
            <w:tcW w:type="dxa" w:w="2880"/>
          </w:tcPr>
          <w:p>
            <w:r>
              <w:t>2.00 USD</w:t>
            </w:r>
          </w:p>
        </w:tc>
        <w:tc>
          <w:tcPr>
            <w:tcW w:type="dxa" w:w="2880"/>
          </w:tcPr>
          <w:p>
            <w:r>
              <w:t>Eroarea absoluta medie. Mai robusta la valori extreme decat MSE.</w:t>
            </w:r>
          </w:p>
        </w:tc>
      </w:tr>
      <w:tr>
        <w:tc>
          <w:tcPr>
            <w:tcW w:type="dxa" w:w="2880"/>
          </w:tcPr>
          <w:p>
            <w:r>
              <w:t>MAPE (Mean Abs % Error)</w:t>
            </w:r>
          </w:p>
        </w:tc>
        <w:tc>
          <w:tcPr>
            <w:tcW w:type="dxa" w:w="2880"/>
          </w:tcPr>
          <w:p>
            <w:r>
              <w:t>1.06%</w:t>
            </w:r>
          </w:p>
        </w:tc>
        <w:tc>
          <w:tcPr>
            <w:tcW w:type="dxa" w:w="2880"/>
          </w:tcPr>
          <w:p>
            <w:r>
              <w:t>Eroarea procentuala medie. Cu cat mai mica, cu atat mai bine.</w:t>
            </w:r>
          </w:p>
        </w:tc>
      </w:tr>
      <w:tr>
        <w:tc>
          <w:tcPr>
            <w:tcW w:type="dxa" w:w="2880"/>
          </w:tcPr>
          <w:p>
            <w:r>
              <w:t>R² (Coef. de determinare)</w:t>
            </w:r>
          </w:p>
        </w:tc>
        <w:tc>
          <w:tcPr>
            <w:tcW w:type="dxa" w:w="2880"/>
          </w:tcPr>
          <w:p>
            <w:r>
              <w:t>0.9978</w:t>
            </w:r>
          </w:p>
        </w:tc>
        <w:tc>
          <w:tcPr>
            <w:tcW w:type="dxa" w:w="2880"/>
          </w:tcPr>
          <w:p>
            <w:r>
              <w:t>Valori negative indica performanta mai slaba decat un model constant (media).</w:t>
            </w:r>
          </w:p>
        </w:tc>
      </w:tr>
      <w:tr>
        <w:tc>
          <w:tcPr>
            <w:tcW w:type="dxa" w:w="2880"/>
          </w:tcPr>
          <w:p>
            <w:r>
              <w:t>Acuratete directionala</w:t>
            </w:r>
          </w:p>
        </w:tc>
        <w:tc>
          <w:tcPr>
            <w:tcW w:type="dxa" w:w="2880"/>
          </w:tcPr>
          <w:p>
            <w:r>
              <w:t>70.46%</w:t>
            </w:r>
          </w:p>
        </w:tc>
        <w:tc>
          <w:tcPr>
            <w:tcW w:type="dxa" w:w="2880"/>
          </w:tcPr>
          <w:p>
            <w:r>
              <w:t>Procentul de predictii corecte ale directiei (crestere/scadere). 50% = aleatoriu.</w:t>
            </w:r>
          </w:p>
        </w:tc>
      </w:tr>
      <w:tr>
        <w:tc>
          <w:tcPr>
            <w:tcW w:type="dxa" w:w="2880"/>
          </w:tcPr>
          <w:p>
            <w:r>
              <w:t>Bias sistematic</w:t>
            </w:r>
          </w:p>
        </w:tc>
        <w:tc>
          <w:tcPr>
            <w:tcW w:type="dxa" w:w="2880"/>
          </w:tcPr>
          <w:p>
            <w:r>
              <w:t>0.23 USD</w:t>
            </w:r>
          </w:p>
        </w:tc>
        <w:tc>
          <w:tcPr>
            <w:tcW w:type="dxa" w:w="2880"/>
          </w:tcPr>
          <w:p>
            <w:r>
              <w:t>Media erorilor. Pozitiv = modelul subestimeaza sistematic.</w:t>
            </w:r>
          </w:p>
        </w:tc>
      </w:tr>
    </w:tbl>
    <w:p/>
    <w:p>
      <w:pPr>
        <w:pStyle w:val="Heading2"/>
      </w:pPr>
      <w:r>
        <w:t>6.1 Interpretarea metricilor</w:t>
      </w:r>
    </w:p>
    <w:p>
      <w:r>
        <w:t>Modelul LSTM cu 31,265 parametri obtine un RMSE de $3.00 si un MAE de $2.00 pe setul de test (932 zile). MAPE-ul de 1.06% indica faptul ca, in medie, predictia se abate extrem de putin (aproximativ 1-2%) de la valoarea reala a actiunii.</w:t>
      </w:r>
    </w:p>
    <w:p>
      <w:r>
        <w:t>Coeficientul de determinare R² este 0.9978, ceea ce inseamna ca modelul reuseste sa explice variatia preturilor extrem de bine pe setul de date de test (peste 96% din variatie), datorita staționarizării caracteristicilor de intrare și prezicerii randamentelor.</w:t>
      </w:r>
    </w:p>
    <w:p>
      <w:r>
        <w:t>Acuratetea directionala de 70.46% este mult superioara nivelului aleatoriu (50%), confirmand ca semnalul generat de retea ofera indicatii valoroase cu privire la directia miscarii zilnice a pretului.</w:t>
      </w:r>
    </w:p>
    <w:p>
      <w:pPr>
        <w:pStyle w:val="Heading1"/>
      </w:pPr>
      <w:r>
        <w:t>7. Discutii si Concluzii</w:t>
      </w:r>
    </w:p>
    <w:p>
      <w:pPr>
        <w:pStyle w:val="Heading2"/>
      </w:pPr>
      <w:r>
        <w:t>7.1 Limitari identificate</w:t>
      </w:r>
    </w:p>
    <w:p>
      <w:r>
        <w:rPr>
          <w:b/>
        </w:rPr>
        <w:t xml:space="preserve">Subestimarea miscarilor bruste (outliers): </w:t>
      </w:r>
      <w:r>
        <w:t>Modelul produce predictii usor mai conservatoare in cazul unor miscari extrem de volatile de piata. Aceasta este o consecinta a functiei de loss MSE, care favorizeaza estimari echilibrate.</w:t>
      </w:r>
    </w:p>
    <w:p>
      <w:r>
        <w:rPr>
          <w:b/>
        </w:rPr>
        <w:t xml:space="preserve">Lipsa variabilelor macroeconomice: </w:t>
      </w:r>
      <w:r>
        <w:t>Modelul foloseste exclusiv date de pret si volum ale bursa, ignorand factori externi precum dobanzile de referinta Fed, inflatia, stirile financiare sau indicatorii fundamentali ai companiei.</w:t>
      </w:r>
    </w:p>
    <w:p>
      <w:pPr>
        <w:pStyle w:val="Heading2"/>
      </w:pPr>
      <w:r>
        <w:t>7.2 Posibile imbunatatiri</w:t>
      </w:r>
    </w:p>
    <w:p>
      <w:pPr>
        <w:pStyle w:val="ListBullet"/>
      </w:pPr>
      <w:r>
        <w:t>Adaugarea de features suplimentare macroeconomice (dobanzi, inflatie, VIX) sau sentimentul stirilor.</w:t>
      </w:r>
    </w:p>
    <w:p>
      <w:pPr>
        <w:pStyle w:val="ListBullet"/>
      </w:pPr>
      <w:r>
        <w:t>Utilizarea unei functii de loss asimetrice sau Huber Loss care sa penalizeze diferit subestimarea si sa fie robusta la outlieri.</w:t>
      </w:r>
    </w:p>
    <w:p>
      <w:pPr>
        <w:pStyle w:val="ListBullet"/>
      </w:pPr>
      <w:r>
        <w:t>Implementarea unui mecanism de atentie (Attention) sau utilizarea unei arhitecturi bazate pe Transformers pentru relatii temporale de lunga durata.</w:t>
      </w:r>
    </w:p>
    <w:p>
      <w:pPr>
        <w:pStyle w:val="ListBullet"/>
      </w:pPr>
      <w:r>
        <w:t>Antrenarea cu validare walk-forward (backtesting) pentru a simula conditii reale de trading.</w:t>
      </w:r>
    </w:p>
    <w:p>
      <w:pPr>
        <w:pStyle w:val="Heading2"/>
      </w:pPr>
      <w:r>
        <w:t>7.3 Concluzii finale</w:t>
      </w:r>
    </w:p>
    <w:p>
      <w:r>
        <w:t>Proiectul demonstreaza aplicabilitatea retelelor LSTM pentru predictia seriilor financiare, evidentiind atat potentialul, cat si limitarile acestei abordari. Desi modelul reuseste sa captureze tendinta generala a pretului, predictiile punctuale raman imprecise din cauza naturii stochastic inerente a pietelor financiare.</w:t>
      </w:r>
    </w:p>
    <w:p>
      <w:r>
        <w:t>Principala concluzie este ca, in forma sa actuala, modelul este mai potrivit pentru analiza de trend si identificarea directiei generale a pietei decat pentru predictii exacte ale pretului. Imbunatatirile propuse (mai multe features, arhitecturi complexe, mecanisme de atentie) ar putea creste semnificativ performanta.</w:t>
      </w:r>
    </w:p>
    <w:p>
      <w:r>
        <w:t>Proiectul ofera o baza solida pentru explorari ulterioare si demonstreaza implementarea practica a intregului pipeline de Deep Learning: de la incarcarea si preprocesarea datelor, trecand prin feature engineering si antrenare, pana la evaluare, vizualizare si interpretarea rezultatelor.</w:t>
      </w:r>
    </w:p>
    <w:p>
      <w:pPr>
        <w:pStyle w:val="Heading1"/>
      </w:pPr>
      <w:r>
        <w:t>8. Tehnologii Utilizate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Python 3.14</w:t>
            </w:r>
          </w:p>
        </w:tc>
        <w:tc>
          <w:tcPr>
            <w:tcW w:type="dxa" w:w="4320"/>
          </w:tcPr>
          <w:p>
            <w:r>
              <w:t>Limbajul de programare principal al proiectului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PyTorch</w:t>
            </w:r>
          </w:p>
        </w:tc>
        <w:tc>
          <w:tcPr>
            <w:tcW w:type="dxa" w:w="4320"/>
          </w:tcPr>
          <w:p>
            <w:r>
              <w:t>Framework de Deep Learning pentru antrenarea retelelor LSTM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Pandas</w:t>
            </w:r>
          </w:p>
        </w:tc>
        <w:tc>
          <w:tcPr>
            <w:tcW w:type="dxa" w:w="4320"/>
          </w:tcPr>
          <w:p>
            <w:r>
              <w:t>Manipularea si procesarea datelor tabulare si serii temporale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NumPy</w:t>
            </w:r>
          </w:p>
        </w:tc>
        <w:tc>
          <w:tcPr>
            <w:tcW w:type="dxa" w:w="4320"/>
          </w:tcPr>
          <w:p>
            <w:r>
              <w:t>Operatii numerice eficiente pe array-uri multidimensionale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Scikit-learn</w:t>
            </w:r>
          </w:p>
        </w:tc>
        <w:tc>
          <w:tcPr>
            <w:tcW w:type="dxa" w:w="4320"/>
          </w:tcPr>
          <w:p>
            <w:r>
              <w:t>Preprocesare (StandardScaler) si metrici de evaluare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Matplotlib</w:t>
            </w:r>
          </w:p>
        </w:tc>
        <w:tc>
          <w:tcPr>
            <w:tcW w:type="dxa" w:w="4320"/>
          </w:tcPr>
          <w:p>
            <w:r>
              <w:t>Generarea graficelor de analiza si vizualizare a rezultatelor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python-docx</w:t>
            </w:r>
          </w:p>
        </w:tc>
        <w:tc>
          <w:tcPr>
            <w:tcW w:type="dxa" w:w="4320"/>
          </w:tcPr>
          <w:p>
            <w:r>
              <w:t>Generarea automata a acestui raport in format Word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