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BÁO CÁO YÊU CẦU THỨ 6</w:t>
      </w:r>
    </w:p>
    <w:p>
      <w:pPr>
        <w:jc w:val="center"/>
      </w:pPr>
      <w:r>
        <w:rPr>
          <w:b/>
          <w:sz w:val="24"/>
        </w:rPr>
        <w:t>Sprint 0 - Thiết kế nghiệp vụ và Database WMS</w:t>
      </w:r>
    </w:p>
    <w:p>
      <w:pPr>
        <w:jc w:val="center"/>
      </w:pPr>
      <w:r>
        <w:rPr>
          <w:i/>
        </w:rPr>
        <w:t>Thứ 6, ngày 25/09/2026</w:t>
      </w:r>
    </w:p>
    <w:p>
      <w:r>
        <w:rPr>
          <w:b/>
        </w:rPr>
        <w:t xml:space="preserve">Kết luận: </w:t>
      </w:r>
      <w:r>
        <w:t>Thứ 6 là mốc tích hợp và review chéo. Nhóm cần chứng minh 5 domain có thể ghép thành một thiết kế WMS thống nhất, xử lý được 8 kịch bản nghiệp vụ, đồng thời hoàn thành ERD tổng v1 có thể render.</w:t>
      </w:r>
    </w:p>
    <w:p>
      <w:pPr>
        <w:pStyle w:val="Heading1"/>
        <w:spacing w:before="280" w:after="120"/>
      </w:pPr>
      <w:r>
        <w:rPr>
          <w:rFonts w:ascii="Aptos Display" w:hAnsi="Aptos Display"/>
          <w:color w:val="000000"/>
        </w:rPr>
        <w:t>1 Mục tiêu trong ngày</w:t>
      </w:r>
    </w:p>
    <w:p>
      <w:pPr>
        <w:pStyle w:val="ListBullet"/>
        <w:spacing w:after="60"/>
      </w:pPr>
      <w:r>
        <w:t>Xác nhận các điểm nối giữa domain Authentication and RBAC, Warehouse Structure, Product and Supplier, Inventory Model, Stock Ledger and Movement.</w:t>
      </w:r>
    </w:p>
    <w:p>
      <w:pPr>
        <w:pStyle w:val="ListBullet"/>
        <w:spacing w:after="60"/>
      </w:pPr>
      <w:r>
        <w:t>Phát hiện và xử lý khác biệt về khóa ngoại, kiểu dữ liệu, quy ước tên, trạng thái và quy tắc nghiệp vụ.</w:t>
      </w:r>
    </w:p>
    <w:p>
      <w:pPr>
        <w:pStyle w:val="ListBullet"/>
        <w:spacing w:after="60"/>
      </w:pPr>
      <w:r>
        <w:t>Kiểm chứng thiết kế bằng các kịch bản vận hành thay vì chỉ kiểm tra sơ đồ.</w:t>
      </w:r>
    </w:p>
    <w:p>
      <w:pPr>
        <w:pStyle w:val="ListBullet"/>
        <w:spacing w:after="60"/>
      </w:pPr>
      <w:r>
        <w:t>Gộp các ERD domain thành ERD tổng v1 và bảo đảm file PlantUML render thành công.</w:t>
      </w:r>
    </w:p>
    <w:p>
      <w:pPr>
        <w:pStyle w:val="Heading1"/>
        <w:spacing w:before="280" w:after="120"/>
      </w:pPr>
      <w:r>
        <w:rPr>
          <w:rFonts w:ascii="Aptos Display" w:hAnsi="Aptos Display"/>
          <w:color w:val="000000"/>
        </w:rPr>
        <w:t>2 Kế hoạch thực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Hoạt động</w:t>
            </w:r>
          </w:p>
        </w:tc>
        <w:tc>
          <w:tcPr>
            <w:tcW w:type="dxa" w:w="45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Nội dung phải thực hiện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Kết quả cần có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Họp tích hợp 60 phút</w:t>
            </w:r>
          </w:p>
        </w:tc>
        <w:tc>
          <w:tcPr>
            <w:tcW w:type="dxa" w:w="45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Đi qua checklist điểm nối; người phụ trách hai domain cùng xác nhận từng quyết định.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Checklist có trạng thái xác nhận và các điểm cần sửa.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Kiểm thử trên giấy</w:t>
            </w:r>
          </w:p>
        </w:tc>
        <w:tc>
          <w:tcPr>
            <w:tcW w:type="dxa" w:w="45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Chạy đủ 8 kịch bản; ghi bảng nào INSERT/UPDATE và số lượng thay đổi thế nào.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Danh sách kịch bản đi qua được; lỗi thiết kế được ghi nhận.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Gộp ERD tổng</w:t>
            </w:r>
          </w:p>
        </w:tc>
        <w:tc>
          <w:tcPr>
            <w:tcW w:type="dxa" w:w="45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Include 5 file ERD domain; kiểm tra quan hệ và khóa ngoại liên domain.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erd_all.puml và ảnh ERD tổng v1 render được.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Review chéo</w:t>
            </w:r>
          </w:p>
        </w:tc>
        <w:tc>
          <w:tcPr>
            <w:tcW w:type="dxa" w:w="45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Đối chiếu ERD, Data Dictionary và Business Rules với quy ước chung.</w:t>
            </w:r>
          </w:p>
        </w:tc>
        <w:tc>
          <w:tcPr>
            <w:tcW w:type="dxa" w:w="283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Danh sách lỗi/thay đổi đã xử lý hoặc có người chịu trách nhiệm.</w:t>
            </w:r>
          </w:p>
        </w:tc>
      </w:tr>
    </w:tbl>
    <w:p>
      <w:pPr>
        <w:pStyle w:val="Heading1"/>
        <w:spacing w:before="280" w:after="120"/>
      </w:pPr>
      <w:r>
        <w:rPr>
          <w:rFonts w:ascii="Aptos Display" w:hAnsi="Aptos Display"/>
          <w:color w:val="000000"/>
        </w:rPr>
        <w:t>3 Checklist điểm nối bắt buộc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Điểm nối</w:t>
            </w:r>
          </w:p>
        </w:tc>
        <w:tc>
          <w:tcPr>
            <w:tcW w:type="dxa" w:w="578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Yêu cầu cần thống nhất</w:t>
            </w:r>
          </w:p>
        </w:tc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Kết quả xác nhận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Phân quyền theo kho</w:t>
            </w:r>
          </w:p>
        </w:tc>
        <w:tc>
          <w:tcPr>
            <w:tcW w:type="dxa" w:w="578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user_roles.warehouse_id tham chiếu warehouses; phạm vi quyền theo kho hoặc xuống zone phải rõ.</w:t>
            </w:r>
          </w:p>
        </w:tc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Mô hình quyền và FK thống nhất.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Người thực hiện giao dịch</w:t>
            </w:r>
          </w:p>
        </w:tc>
        <w:tc>
          <w:tcPr>
            <w:tcW w:type="dxa" w:w="578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stock_ledger.created_by tham chiếu users; xác định vai trò được xem ledger.</w:t>
            </w:r>
          </w:p>
        </w:tc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RBAC hỗ trợ truy vết thao tác.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Tồn theo vị trí</w:t>
            </w:r>
          </w:p>
        </w:tc>
        <w:tc>
          <w:tcPr>
            <w:tcW w:type="dxa" w:w="578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Chỉ location_type = BIN được giữ inventory; QC và DAMAGED có tính vào available hay không.</w:t>
            </w:r>
          </w:p>
        </w:tc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Quy tắc available được ghi rõ.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Tồn theo SKU và UoM</w:t>
            </w:r>
          </w:p>
        </w:tc>
        <w:tc>
          <w:tcPr>
            <w:tcW w:type="dxa" w:w="578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Tất cả lượng tồn và ledger dùng base UoM; lot/serial theo cờ của SKU.</w:t>
            </w:r>
          </w:p>
        </w:tc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Khóa và quy đổi đơn vị thống nhất.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Inventory và ledger</w:t>
            </w:r>
          </w:p>
        </w:tc>
        <w:tc>
          <w:tcPr>
            <w:tcW w:type="dxa" w:w="578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Dùng cùng khóa (location, sku, lot); cập nhật cùng transaction; quyết định reserve có ghi ledger không.</w:t>
            </w:r>
          </w:p>
        </w:tc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Quy tắc đối soát và transaction được chốt.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Chứng từ và vô hiệu hóa</w:t>
            </w:r>
          </w:p>
        </w:tc>
        <w:tc>
          <w:tcPr>
            <w:tcW w:type="dxa" w:w="578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Chốt reference_type; không deactivate location hoặc SKU còn tồn.</w:t>
            </w:r>
          </w:p>
        </w:tc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Các trạng thái và ràng buộc hợp lệ.</w:t>
            </w:r>
          </w:p>
        </w:tc>
      </w:tr>
    </w:tbl>
    <w:p>
      <w:pPr>
        <w:pStyle w:val="Heading1"/>
        <w:spacing w:before="280" w:after="120"/>
      </w:pPr>
      <w:r>
        <w:rPr>
          <w:rFonts w:ascii="Aptos Display" w:hAnsi="Aptos Display"/>
          <w:color w:val="000000"/>
        </w:rPr>
        <w:t>4 Kịch bản phải kiểm thử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#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Kịch bản</w:t>
            </w:r>
          </w:p>
        </w:tc>
        <w:tc>
          <w:tcPr>
            <w:tcW w:type="dxa" w:w="419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F4E7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Kỳ vọng chính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1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Nhập 10 BOX SKU-001 vào RECV-01; 1 BOX = 12 EA.</w:t>
            </w:r>
          </w:p>
        </w:tc>
        <w:tc>
          <w:tcPr>
            <w:tcW w:type="dxa" w:w="419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RECEIPT +120 EA; on hand RECV-01 = 120.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2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Putaway 120 EA từ RECV-01 đến BIN A01-R03-B05.</w:t>
            </w:r>
          </w:p>
        </w:tc>
        <w:tc>
          <w:tcPr>
            <w:tcW w:type="dxa" w:w="419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Hai dòng ledger -120 và +120; tổng tồn không đổi.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3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Đơn xuất 30 EA và giữ chỗ.</w:t>
            </w:r>
          </w:p>
        </w:tc>
        <w:tc>
          <w:tcPr>
            <w:tcW w:type="dxa" w:w="419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reserved = 30; available = 90; ledger không đổi.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4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Pick và ship 30 EA.</w:t>
            </w:r>
          </w:p>
        </w:tc>
        <w:tc>
          <w:tcPr>
            <w:tcW w:type="dxa" w:w="419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on hand = 90; reserved = 0; ledger phản ánh PICK và SHIP.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5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Kiểm kê thiếu 2 EA.</w:t>
            </w:r>
          </w:p>
        </w:tc>
        <w:tc>
          <w:tcPr>
            <w:tcW w:type="dxa" w:w="419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ADJUST OUT -2; kiểm tra quyền và bước duyệt nếu áp dụng.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6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Phát hiện RECEIPT sai SKU.</w:t>
            </w:r>
          </w:p>
        </w:tc>
        <w:tc>
          <w:tcPr>
            <w:tcW w:type="dxa" w:w="419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REVERSAL -120 và RECEIPT đúng SKU; không update dòng cũ.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7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Picker điều chỉnh tồn tại kho chưa được gán.</w:t>
            </w:r>
          </w:p>
        </w:tc>
        <w:tc>
          <w:tcPr>
            <w:tcW w:type="dxa" w:w="419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Hệ thống từ chối theo RBAC.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8</w:t>
            </w:r>
          </w:p>
        </w:tc>
        <w:tc>
          <w:tcPr>
            <w:tcW w:type="dxa" w:w="48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Hai người cùng giữ 90 EA cuối đồng thời.</w:t>
            </w:r>
          </w:p>
        </w:tc>
        <w:tc>
          <w:tcPr>
            <w:tcW w:type="dxa" w:w="419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Chỉ một giao dịch thành công bằng version hoặc lock.</w:t>
            </w:r>
          </w:p>
        </w:tc>
      </w:tr>
    </w:tbl>
    <w:p>
      <w:pPr>
        <w:pStyle w:val="Heading1"/>
        <w:spacing w:before="280" w:after="120"/>
      </w:pPr>
      <w:r>
        <w:rPr>
          <w:rFonts w:ascii="Aptos Display" w:hAnsi="Aptos Display"/>
          <w:color w:val="000000"/>
        </w:rPr>
        <w:t>5 Tiêu chí hoàn thành cuối ngày</w:t>
      </w:r>
    </w:p>
    <w:p>
      <w:pPr>
        <w:pStyle w:val="ListBullet"/>
        <w:spacing w:after="60"/>
      </w:pPr>
      <w:r>
        <w:t>ERD tổng v1 render được và không có bảng mồ côi.</w:t>
      </w:r>
    </w:p>
    <w:p>
      <w:pPr>
        <w:pStyle w:val="ListBullet"/>
        <w:spacing w:after="60"/>
      </w:pPr>
      <w:r>
        <w:t>Tất cả quan hệ liên domain có khóa ngoại và kiểu dữ liệu khớp trong Data Dictionary.</w:t>
      </w:r>
    </w:p>
    <w:p>
      <w:pPr>
        <w:pStyle w:val="ListBullet"/>
        <w:spacing w:after="60"/>
      </w:pPr>
      <w:r>
        <w:t>Tám kịch bản đi qua được; mọi điểm không đi qua được có lỗi và người xử lý rõ ràng.</w:t>
      </w:r>
    </w:p>
    <w:p>
      <w:pPr>
        <w:pStyle w:val="ListBullet"/>
        <w:spacing w:after="60"/>
      </w:pPr>
      <w:r>
        <w:t>Có danh sách lỗi/thay đổi đã xử lý, bao gồm quyết định về reserve, available, UoM, lot và phân quyền.</w:t>
      </w:r>
    </w:p>
    <w:p>
      <w:pPr>
        <w:pStyle w:val="ListBullet"/>
        <w:spacing w:after="60"/>
      </w:pPr>
      <w:r>
        <w:t>Nguồn PlantUML được cập nhật trên Git; bản xuất ERD tổng sẵn sàng đưa vào bộ nộp.</w:t>
      </w:r>
    </w:p>
    <w:p>
      <w:pPr>
        <w:pStyle w:val="Heading1"/>
        <w:spacing w:before="280" w:after="120"/>
      </w:pPr>
      <w:r>
        <w:rPr>
          <w:rFonts w:ascii="Aptos Display" w:hAnsi="Aptos Display"/>
          <w:color w:val="000000"/>
        </w:rPr>
        <w:t>6 Rủi ro cần kiểm soát</w:t>
      </w:r>
    </w:p>
    <w:p>
      <w:r>
        <w:rPr>
          <w:b/>
        </w:rPr>
        <w:t xml:space="preserve">Ưu tiên xử lý: </w:t>
      </w:r>
      <w:r>
        <w:t>khác biệt giữa Inventory và Ledger về reserve; khóa/kiểu dữ liệu không đồng nhất; và ERD tổng không render. Các vấn đề này cần được ghi thành quyết định cụ thể trong buổi họp, không để chuyển sang ngày nộp.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