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6E64EC3B" w:rsidR="00FB0527" w:rsidRDefault="00FB0527"/>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length of geometric segment, or cardinality of set, which depends on context. </w:t>
      </w:r>
      <w:r w:rsidR="00467954">
        <w:t xml:space="preserve">Pair of braces “{…}” denotes a set.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lastRenderedPageBreak/>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Look w:val="04A0" w:firstRow="1" w:lastRow="0" w:firstColumn="1" w:lastColumn="0" w:noHBand="0" w:noVBand="1"/>
      </w:tblPr>
      <w:tblGrid>
        <w:gridCol w:w="8340"/>
        <w:gridCol w:w="676"/>
      </w:tblGrid>
      <w:tr w:rsidR="00DD720B" w14:paraId="58D1A882" w14:textId="77777777" w:rsidTr="00852253">
        <w:tc>
          <w:tcPr>
            <w:tcW w:w="8774" w:type="dxa"/>
          </w:tcPr>
          <w:p w14:paraId="2ED592FB" w14:textId="77777777" w:rsidR="00DD720B" w:rsidRPr="008D6EC7" w:rsidRDefault="001A7FA2"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1A7FA2"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1A7FA2"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Look w:val="04A0" w:firstRow="1" w:lastRow="0" w:firstColumn="1" w:lastColumn="0" w:noHBand="0" w:noVBand="1"/>
      </w:tblPr>
      <w:tblGrid>
        <w:gridCol w:w="8774"/>
        <w:gridCol w:w="242"/>
      </w:tblGrid>
      <w:tr w:rsidR="004977B0" w14:paraId="66779816" w14:textId="77777777" w:rsidTr="004977B0">
        <w:tc>
          <w:tcPr>
            <w:tcW w:w="8774" w:type="dxa"/>
          </w:tcPr>
          <w:p w14:paraId="69531F10" w14:textId="77777777" w:rsidR="004977B0" w:rsidRPr="008D6EC7" w:rsidRDefault="001A7FA2"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75F1D8CC" w:rsidR="004977B0" w:rsidRDefault="004977B0" w:rsidP="00852253">
            <w:pPr>
              <w:jc w:val="right"/>
            </w:pP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863474" w14:paraId="2E275719" w14:textId="77777777" w:rsidTr="00863474">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586353CE" w:rsidR="00863474" w:rsidRDefault="00863474" w:rsidP="00852253">
            <w:pPr>
              <w:jc w:val="right"/>
            </w:pPr>
          </w:p>
        </w:tc>
      </w:tr>
    </w:tbl>
    <w:p w14:paraId="3645241D" w14:textId="5048FA0F"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Look w:val="04A0" w:firstRow="1" w:lastRow="0" w:firstColumn="1" w:lastColumn="0" w:noHBand="0" w:noVBand="1"/>
      </w:tblPr>
      <w:tblGrid>
        <w:gridCol w:w="8774"/>
        <w:gridCol w:w="242"/>
      </w:tblGrid>
      <w:tr w:rsidR="00863474" w14:paraId="19B5846E" w14:textId="77777777" w:rsidTr="00863474">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4CC07BDD" w:rsidR="00863474" w:rsidRDefault="00863474" w:rsidP="00852253">
            <w:pPr>
              <w:jc w:val="right"/>
            </w:pPr>
          </w:p>
        </w:tc>
      </w:tr>
    </w:tbl>
    <w:p w14:paraId="01013E32" w14:textId="32708B01" w:rsidR="00931AB8"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Their measure called </w:t>
      </w:r>
      <w:r w:rsidR="00C21749">
        <w:t>Improved Jaccard (</w:t>
      </w:r>
      <w:r>
        <w:t>IJ</w:t>
      </w:r>
      <w:r w:rsidR="00C21749">
        <w:t>)</w:t>
      </w:r>
      <w:r>
        <w:t xml:space="preserve"> is specified as follows </w:t>
      </w:r>
      <w:sdt>
        <w:sdtPr>
          <w:id w:val="44580635"/>
          <w:citation/>
        </w:sdtPr>
        <w:sdtEndPr/>
        <w:sdtContent>
          <w:r>
            <w:fldChar w:fldCharType="begin"/>
          </w:r>
          <w:r>
            <w:instrText xml:space="preserve">CITATION Liang15 \p 1634 \l 1033 </w:instrText>
          </w:r>
          <w:r>
            <w:fldChar w:fldCharType="separate"/>
          </w:r>
          <w:r>
            <w:rPr>
              <w:noProof/>
            </w:rPr>
            <w:t>(Liang, Ma, &amp; Yuan, 2015, p. 1634)</w:t>
          </w:r>
          <w:r>
            <w:fldChar w:fldCharType="end"/>
          </w:r>
        </w:sdtContent>
      </w:sdt>
      <w:r>
        <w:t>:</w:t>
      </w:r>
    </w:p>
    <w:tbl>
      <w:tblPr>
        <w:tblStyle w:val="TableGrid"/>
        <w:tblW w:w="5000" w:type="pct"/>
        <w:tblLook w:val="04A0" w:firstRow="1" w:lastRow="0" w:firstColumn="1" w:lastColumn="0" w:noHBand="0" w:noVBand="1"/>
      </w:tblPr>
      <w:tblGrid>
        <w:gridCol w:w="8774"/>
        <w:gridCol w:w="242"/>
      </w:tblGrid>
      <w:tr w:rsidR="00931AB8" w14:paraId="50732FF3" w14:textId="77777777" w:rsidTr="00C21749">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2291746A" w:rsidR="00931AB8" w:rsidRDefault="00931AB8" w:rsidP="008F0EF9">
            <w:pPr>
              <w:jc w:val="right"/>
            </w:pPr>
          </w:p>
        </w:tc>
      </w:tr>
    </w:tbl>
    <w:p w14:paraId="6E035817" w14:textId="77777777" w:rsidR="00931AB8" w:rsidRDefault="00931AB8" w:rsidP="00931AB8">
      <w:r>
        <w:t xml:space="preserve">Where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are positive singularity, negative singularity, and empty singularity of item j, respectively whereas </w:t>
      </w:r>
      <w:r w:rsidRPr="00EA6446">
        <w:rPr>
          <w:i/>
          <w:iCs/>
        </w:rPr>
        <w:t>PA</w:t>
      </w:r>
      <w:r>
        <w:t xml:space="preserve">, </w:t>
      </w:r>
      <w:r w:rsidRPr="00EA6446">
        <w:rPr>
          <w:i/>
          <w:iCs/>
        </w:rPr>
        <w:t>NA</w:t>
      </w:r>
      <w:r>
        <w:t xml:space="preserve">, </w:t>
      </w:r>
      <w:r w:rsidRPr="00EA6446">
        <w:rPr>
          <w:i/>
          <w:iCs/>
        </w:rPr>
        <w:t>D</w:t>
      </w:r>
      <w:r>
        <w:t xml:space="preserve">, </w:t>
      </w:r>
      <w:r w:rsidRPr="00EA6446">
        <w:rPr>
          <w:i/>
          <w:iCs/>
        </w:rPr>
        <w:t>PO</w:t>
      </w:r>
      <w:r>
        <w:t xml:space="preserve">, and </w:t>
      </w:r>
      <w:r w:rsidRPr="00EA6446">
        <w:rPr>
          <w:i/>
          <w:iCs/>
        </w:rPr>
        <w:t xml:space="preserve">NO </w:t>
      </w:r>
      <w:r>
        <w:t>are sets of agreed positive ratings, agreed negative ratings, disagreed ratings, positive ratings, and negative ratings, respectively.</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w:t>
      </w:r>
      <w:r w:rsidR="001E2BE5">
        <w:lastRenderedPageBreak/>
        <w:t xml:space="preserve">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1A7FA2"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Look w:val="04A0" w:firstRow="1" w:lastRow="0" w:firstColumn="1" w:lastColumn="0" w:noHBand="0" w:noVBand="1"/>
      </w:tblPr>
      <w:tblGrid>
        <w:gridCol w:w="8774"/>
        <w:gridCol w:w="242"/>
      </w:tblGrid>
      <w:tr w:rsidR="005F1CCE" w14:paraId="32ECBDA3" w14:textId="77777777" w:rsidTr="008F0EF9">
        <w:tc>
          <w:tcPr>
            <w:tcW w:w="8774" w:type="dxa"/>
          </w:tcPr>
          <w:p w14:paraId="19CD0BF6" w14:textId="24D97139" w:rsidR="005F1CCE" w:rsidRPr="008D6EC7" w:rsidRDefault="001A7FA2"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7777777" w:rsidR="005F1CCE" w:rsidRDefault="005F1CCE" w:rsidP="008F0EF9">
            <w:pPr>
              <w:jc w:val="right"/>
            </w:pP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Look w:val="04A0" w:firstRow="1" w:lastRow="0" w:firstColumn="1" w:lastColumn="0" w:noHBand="0" w:noVBand="1"/>
      </w:tblPr>
      <w:tblGrid>
        <w:gridCol w:w="8774"/>
        <w:gridCol w:w="242"/>
      </w:tblGrid>
      <w:tr w:rsidR="00E52411" w14:paraId="5A2115ED" w14:textId="77777777" w:rsidTr="008F0EF9">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7777777" w:rsidR="00E52411" w:rsidRDefault="00E52411" w:rsidP="008F0EF9">
            <w:pPr>
              <w:jc w:val="right"/>
            </w:pP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Look w:val="04A0" w:firstRow="1" w:lastRow="0" w:firstColumn="1" w:lastColumn="0" w:noHBand="0" w:noVBand="1"/>
      </w:tblPr>
      <w:tblGrid>
        <w:gridCol w:w="8774"/>
        <w:gridCol w:w="242"/>
      </w:tblGrid>
      <w:tr w:rsidR="00EB2226" w14:paraId="4FF203B9" w14:textId="77777777" w:rsidTr="00C81720">
        <w:tc>
          <w:tcPr>
            <w:tcW w:w="8774" w:type="dxa"/>
          </w:tcPr>
          <w:p w14:paraId="54CDC3C8" w14:textId="5B9A1766" w:rsidR="00EB2226" w:rsidRPr="008D6EC7" w:rsidRDefault="001A7FA2"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77777777" w:rsidR="00EB2226" w:rsidRDefault="00EB2226" w:rsidP="00C81720">
            <w:pPr>
              <w:jc w:val="right"/>
            </w:pP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D92113" w14:paraId="0A92E886" w14:textId="77777777" w:rsidTr="00C81720">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7777777" w:rsidR="00D92113" w:rsidRDefault="00D92113" w:rsidP="00C81720">
            <w:pPr>
              <w:jc w:val="right"/>
            </w:pP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A02E34" w14:paraId="2E008F0C" w14:textId="77777777" w:rsidTr="00517745">
        <w:tc>
          <w:tcPr>
            <w:tcW w:w="8774" w:type="dxa"/>
          </w:tcPr>
          <w:p w14:paraId="4A8C6672" w14:textId="57267773" w:rsidR="00A02E34" w:rsidRPr="00A02E34" w:rsidRDefault="001A7FA2"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77777777" w:rsidR="00A02E34" w:rsidRDefault="00A02E34" w:rsidP="00517745">
            <w:pPr>
              <w:jc w:val="right"/>
            </w:pP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1A7FA2"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1A7FA2">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Look w:val="04A0" w:firstRow="1" w:lastRow="0" w:firstColumn="1" w:lastColumn="0" w:noHBand="0" w:noVBand="1"/>
      </w:tblPr>
      <w:tblGrid>
        <w:gridCol w:w="8774"/>
        <w:gridCol w:w="242"/>
      </w:tblGrid>
      <w:tr w:rsidR="004F61E9" w14:paraId="46BD3256" w14:textId="77777777" w:rsidTr="00517745">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77777777" w:rsidR="004F61E9" w:rsidRDefault="004F61E9" w:rsidP="00517745">
            <w:pPr>
              <w:jc w:val="right"/>
            </w:pPr>
          </w:p>
        </w:tc>
      </w:tr>
    </w:tbl>
    <w:p w14:paraId="3D50161A" w14:textId="77777777" w:rsidR="00EB2A3E" w:rsidRDefault="00EB2A3E"/>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Look w:val="04A0" w:firstRow="1" w:lastRow="0" w:firstColumn="1" w:lastColumn="0" w:noHBand="0" w:noVBand="1"/>
      </w:tblPr>
      <w:tblGrid>
        <w:gridCol w:w="8774"/>
        <w:gridCol w:w="242"/>
      </w:tblGrid>
      <w:tr w:rsidR="00C11925" w14:paraId="758154D2" w14:textId="77777777" w:rsidTr="00C11925">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525DBA51" w:rsidR="00C11925" w:rsidRDefault="00C11925" w:rsidP="00C7058F">
            <w:pPr>
              <w:jc w:val="right"/>
            </w:pP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Look w:val="04A0" w:firstRow="1" w:lastRow="0" w:firstColumn="1" w:lastColumn="0" w:noHBand="0" w:noVBand="1"/>
      </w:tblPr>
      <w:tblGrid>
        <w:gridCol w:w="8774"/>
        <w:gridCol w:w="242"/>
      </w:tblGrid>
      <w:tr w:rsidR="00EF5644" w14:paraId="75CF60A7" w14:textId="77777777" w:rsidTr="00EF5644">
        <w:tc>
          <w:tcPr>
            <w:tcW w:w="8774" w:type="dxa"/>
          </w:tcPr>
          <w:p w14:paraId="46A8CAC0" w14:textId="77777777" w:rsidR="00EF5644" w:rsidRPr="002B3307" w:rsidRDefault="001A7FA2"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4C3FFE8" w:rsidR="00EF5644" w:rsidRDefault="00EF5644" w:rsidP="00852253">
            <w:pPr>
              <w:jc w:val="right"/>
            </w:pPr>
          </w:p>
        </w:tc>
      </w:tr>
    </w:tbl>
    <w:p w14:paraId="2FBBD8DC" w14:textId="15F57077"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1A7FA2"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1A7FA2"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Look w:val="04A0" w:firstRow="1" w:lastRow="0" w:firstColumn="1" w:lastColumn="0" w:noHBand="0" w:noVBand="1"/>
      </w:tblPr>
      <w:tblGrid>
        <w:gridCol w:w="8774"/>
        <w:gridCol w:w="242"/>
      </w:tblGrid>
      <w:tr w:rsidR="00EF5644" w14:paraId="76AE4279" w14:textId="77777777" w:rsidTr="007D4BC1">
        <w:tc>
          <w:tcPr>
            <w:tcW w:w="8774" w:type="dxa"/>
          </w:tcPr>
          <w:p w14:paraId="3E746724" w14:textId="77777777" w:rsidR="00EF5644" w:rsidRPr="002B3307" w:rsidRDefault="001A7FA2"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16DDC604" w:rsidR="00EF5644" w:rsidRDefault="00EF5644" w:rsidP="00852253">
            <w:pPr>
              <w:jc w:val="right"/>
            </w:pP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Look w:val="04A0" w:firstRow="1" w:lastRow="0" w:firstColumn="1" w:lastColumn="0" w:noHBand="0" w:noVBand="1"/>
      </w:tblPr>
      <w:tblGrid>
        <w:gridCol w:w="8774"/>
        <w:gridCol w:w="242"/>
      </w:tblGrid>
      <w:tr w:rsidR="00EF5644" w14:paraId="3165F63D" w14:textId="77777777" w:rsidTr="007D4BC1">
        <w:tc>
          <w:tcPr>
            <w:tcW w:w="8774" w:type="dxa"/>
          </w:tcPr>
          <w:p w14:paraId="27C0A53B" w14:textId="77777777" w:rsidR="00EF5644" w:rsidRPr="002B3307" w:rsidRDefault="001A7FA2"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00187216" w:rsidR="00EF5644" w:rsidRDefault="00EF5644" w:rsidP="00852253">
            <w:pPr>
              <w:jc w:val="right"/>
            </w:pPr>
          </w:p>
        </w:tc>
      </w:tr>
    </w:tbl>
    <w:p w14:paraId="1012886C" w14:textId="77777777" w:rsidR="00C11925" w:rsidRDefault="00C11925"/>
    <w:p w14:paraId="30D266DA" w14:textId="7FC84599" w:rsidR="00FB0527" w:rsidRPr="00FB0527" w:rsidRDefault="00863474" w:rsidP="00E55D2B">
      <w:pPr>
        <w:pStyle w:val="Heading1"/>
      </w:pPr>
      <w:r>
        <w:lastRenderedPageBreak/>
        <w:t>4</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26FF73D5" w14:textId="77777777" w:rsidTr="00E81BAF">
        <w:tc>
          <w:tcPr>
            <w:tcW w:w="8774" w:type="dxa"/>
          </w:tcPr>
          <w:p w14:paraId="2BBE5945" w14:textId="77777777" w:rsidR="00E81BAF" w:rsidRPr="008D6EC7" w:rsidRDefault="001A7FA2"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76E7EFFB" w:rsidR="00E81BAF" w:rsidRDefault="00E81BAF" w:rsidP="00852253">
            <w:pPr>
              <w:jc w:val="right"/>
            </w:pP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1A7FA2"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F6A3F90" w14:textId="77777777" w:rsidTr="00E81BAF">
        <w:tc>
          <w:tcPr>
            <w:tcW w:w="8774" w:type="dxa"/>
          </w:tcPr>
          <w:p w14:paraId="704F264D" w14:textId="77777777" w:rsidR="00E81BAF" w:rsidRPr="008D6EC7" w:rsidRDefault="001A7FA2"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CEF089E" w:rsidR="00E81BAF" w:rsidRDefault="00E81BAF" w:rsidP="00852253">
            <w:pPr>
              <w:jc w:val="right"/>
            </w:pP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5BE99BC" w14:textId="77777777" w:rsidTr="00E81BAF">
        <w:tc>
          <w:tcPr>
            <w:tcW w:w="8774" w:type="dxa"/>
          </w:tcPr>
          <w:p w14:paraId="198D33C1" w14:textId="77777777" w:rsidR="00E81BAF" w:rsidRPr="00C2752E" w:rsidRDefault="001A7FA2"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8A82B3F" w:rsidR="00E81BAF" w:rsidRDefault="00E81BAF" w:rsidP="00852253">
            <w:pPr>
              <w:jc w:val="right"/>
            </w:pP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72C9FABA" w14:textId="77777777" w:rsidTr="00E81BAF">
        <w:tc>
          <w:tcPr>
            <w:tcW w:w="8774" w:type="dxa"/>
          </w:tcPr>
          <w:p w14:paraId="6959F161" w14:textId="77777777" w:rsidR="00E81BAF" w:rsidRPr="002B3307" w:rsidRDefault="001A7FA2"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58E95B7F" w:rsidR="00E81BAF" w:rsidRDefault="00E81BAF" w:rsidP="00852253">
            <w:pPr>
              <w:jc w:val="right"/>
            </w:pP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Look w:val="04A0" w:firstRow="1" w:lastRow="0" w:firstColumn="1" w:lastColumn="0" w:noHBand="0" w:noVBand="1"/>
      </w:tblPr>
      <w:tblGrid>
        <w:gridCol w:w="8774"/>
        <w:gridCol w:w="242"/>
      </w:tblGrid>
      <w:tr w:rsidR="00AE776B" w14:paraId="423A2948" w14:textId="77777777" w:rsidTr="00C31B0B">
        <w:tc>
          <w:tcPr>
            <w:tcW w:w="8774" w:type="dxa"/>
          </w:tcPr>
          <w:p w14:paraId="471C394D" w14:textId="42B51C9E" w:rsidR="00AE776B" w:rsidRPr="008D6EC7" w:rsidRDefault="001A7FA2"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77777777" w:rsidR="00AE776B" w:rsidRDefault="00AE776B" w:rsidP="00C31B0B">
            <w:pPr>
              <w:jc w:val="right"/>
            </w:pP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Look w:val="04A0" w:firstRow="1" w:lastRow="0" w:firstColumn="1" w:lastColumn="0" w:noHBand="0" w:noVBand="1"/>
      </w:tblPr>
      <w:tblGrid>
        <w:gridCol w:w="8774"/>
        <w:gridCol w:w="242"/>
      </w:tblGrid>
      <w:tr w:rsidR="00EC6845" w14:paraId="3E2A13FA" w14:textId="77777777" w:rsidTr="00C31B0B">
        <w:tc>
          <w:tcPr>
            <w:tcW w:w="8774" w:type="dxa"/>
          </w:tcPr>
          <w:p w14:paraId="4D47F002" w14:textId="6C35EACF" w:rsidR="00EC6845" w:rsidRPr="008D6EC7" w:rsidRDefault="001A7FA2"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77777777" w:rsidR="00EC6845" w:rsidRDefault="00EC6845" w:rsidP="00C31B0B">
            <w:pPr>
              <w:jc w:val="right"/>
            </w:pP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Look w:val="04A0" w:firstRow="1" w:lastRow="0" w:firstColumn="1" w:lastColumn="0" w:noHBand="0" w:noVBand="1"/>
      </w:tblPr>
      <w:tblGrid>
        <w:gridCol w:w="8774"/>
        <w:gridCol w:w="242"/>
      </w:tblGrid>
      <w:tr w:rsidR="00CC3E77" w14:paraId="385BBFF8" w14:textId="77777777" w:rsidTr="00C31B0B">
        <w:tc>
          <w:tcPr>
            <w:tcW w:w="8774" w:type="dxa"/>
          </w:tcPr>
          <w:p w14:paraId="5D29FB84" w14:textId="7DB34384" w:rsidR="00CC3E77" w:rsidRPr="008D6EC7" w:rsidRDefault="001A7FA2"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7777777" w:rsidR="00CC3E77" w:rsidRDefault="00CC3E77" w:rsidP="00C31B0B">
            <w:pPr>
              <w:jc w:val="right"/>
            </w:pP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1A7FA2"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1A7FA2"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Look w:val="04A0" w:firstRow="1" w:lastRow="0" w:firstColumn="1" w:lastColumn="0" w:noHBand="0" w:noVBand="1"/>
      </w:tblPr>
      <w:tblGrid>
        <w:gridCol w:w="8774"/>
        <w:gridCol w:w="242"/>
      </w:tblGrid>
      <w:tr w:rsidR="00E81BAF" w14:paraId="527A9511" w14:textId="77777777" w:rsidTr="00E81BAF">
        <w:tc>
          <w:tcPr>
            <w:tcW w:w="8774" w:type="dxa"/>
          </w:tcPr>
          <w:p w14:paraId="2C718CD6" w14:textId="77777777" w:rsidR="00E81BAF" w:rsidRPr="002B3307" w:rsidRDefault="001A7FA2"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70F9026B" w:rsidR="00E81BAF" w:rsidRDefault="00E81BAF" w:rsidP="00852253">
            <w:pPr>
              <w:jc w:val="right"/>
            </w:pP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2A4375" w14:paraId="0FDD467E" w14:textId="77777777" w:rsidTr="002A4375">
        <w:tc>
          <w:tcPr>
            <w:tcW w:w="8774" w:type="dxa"/>
          </w:tcPr>
          <w:p w14:paraId="04ADBE71" w14:textId="77777777" w:rsidR="002A4375" w:rsidRPr="006A2353" w:rsidRDefault="001A7FA2"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373C4DAC" w:rsidR="002A4375" w:rsidRDefault="002A4375" w:rsidP="00852253">
            <w:pPr>
              <w:jc w:val="right"/>
            </w:pP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1A7FA2"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7C476686" w14:textId="77777777" w:rsidTr="00E92EEE">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68D9B3C6" w:rsidR="00E92EEE" w:rsidRDefault="00E92EEE" w:rsidP="00852253">
            <w:pPr>
              <w:jc w:val="right"/>
            </w:pP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Look w:val="04A0" w:firstRow="1" w:lastRow="0" w:firstColumn="1" w:lastColumn="0" w:noHBand="0" w:noVBand="1"/>
      </w:tblPr>
      <w:tblGrid>
        <w:gridCol w:w="8774"/>
        <w:gridCol w:w="242"/>
      </w:tblGrid>
      <w:tr w:rsidR="00E92EEE" w14:paraId="3B44E8CF" w14:textId="77777777" w:rsidTr="00E92EEE">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4C25D7A" w:rsidR="00E92EEE" w:rsidRDefault="00E92EEE" w:rsidP="00852253">
            <w:pPr>
              <w:jc w:val="right"/>
            </w:pP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2149781B" w14:textId="77777777" w:rsidTr="00E92EEE">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D261E07" w:rsidR="00E92EEE" w:rsidRDefault="00E92EEE" w:rsidP="00852253">
            <w:pPr>
              <w:jc w:val="right"/>
            </w:pP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Look w:val="04A0" w:firstRow="1" w:lastRow="0" w:firstColumn="1" w:lastColumn="0" w:noHBand="0" w:noVBand="1"/>
      </w:tblPr>
      <w:tblGrid>
        <w:gridCol w:w="8774"/>
        <w:gridCol w:w="242"/>
      </w:tblGrid>
      <w:tr w:rsidR="00653685" w14:paraId="71F40EAF" w14:textId="77777777" w:rsidTr="00653685">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w:lastRenderedPageBreak/>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0E946943" w:rsidR="00653685" w:rsidRDefault="00653685" w:rsidP="00852253">
            <w:pPr>
              <w:jc w:val="right"/>
            </w:pP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1A7FA2"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Look w:val="04A0" w:firstRow="1" w:lastRow="0" w:firstColumn="1" w:lastColumn="0" w:noHBand="0" w:noVBand="1"/>
      </w:tblPr>
      <w:tblGrid>
        <w:gridCol w:w="8774"/>
        <w:gridCol w:w="242"/>
      </w:tblGrid>
      <w:tr w:rsidR="00E07224" w14:paraId="2D8F92E5" w14:textId="77777777" w:rsidTr="00E07224">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158AEBB5" w:rsidR="00E07224" w:rsidRDefault="00E07224" w:rsidP="00852253">
            <w:pPr>
              <w:jc w:val="right"/>
            </w:pP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Look w:val="04A0" w:firstRow="1" w:lastRow="0" w:firstColumn="1" w:lastColumn="0" w:noHBand="0" w:noVBand="1"/>
      </w:tblPr>
      <w:tblGrid>
        <w:gridCol w:w="8774"/>
        <w:gridCol w:w="242"/>
      </w:tblGrid>
      <w:tr w:rsidR="00595BD1" w14:paraId="0AF9B049" w14:textId="77777777" w:rsidTr="0074472B">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7777777" w:rsidR="00595BD1" w:rsidRDefault="00595BD1" w:rsidP="0074472B">
            <w:pPr>
              <w:jc w:val="right"/>
            </w:pP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Look w:val="04A0" w:firstRow="1" w:lastRow="0" w:firstColumn="1" w:lastColumn="0" w:noHBand="0" w:noVBand="1"/>
      </w:tblPr>
      <w:tblGrid>
        <w:gridCol w:w="8774"/>
        <w:gridCol w:w="242"/>
      </w:tblGrid>
      <w:tr w:rsidR="00595BD1" w14:paraId="77E6150E" w14:textId="77777777" w:rsidTr="0074472B">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77777777" w:rsidR="00595BD1" w:rsidRDefault="00595BD1" w:rsidP="0074472B">
            <w:pPr>
              <w:jc w:val="right"/>
            </w:pP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Look w:val="04A0" w:firstRow="1" w:lastRow="0" w:firstColumn="1" w:lastColumn="0" w:noHBand="0" w:noVBand="1"/>
      </w:tblPr>
      <w:tblGrid>
        <w:gridCol w:w="8774"/>
        <w:gridCol w:w="242"/>
      </w:tblGrid>
      <w:tr w:rsidR="00595BD1" w14:paraId="72DEC68C" w14:textId="77777777" w:rsidTr="0074472B">
        <w:tc>
          <w:tcPr>
            <w:tcW w:w="8774" w:type="dxa"/>
          </w:tcPr>
          <w:p w14:paraId="6E3ECF36" w14:textId="6F711739" w:rsidR="00595BD1" w:rsidRPr="006A2353" w:rsidRDefault="00595BD1"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77777777" w:rsidR="00595BD1" w:rsidRDefault="00595BD1" w:rsidP="0074472B">
            <w:pPr>
              <w:jc w:val="right"/>
            </w:pP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Look w:val="04A0" w:firstRow="1" w:lastRow="0" w:firstColumn="1" w:lastColumn="0" w:noHBand="0" w:noVBand="1"/>
      </w:tblPr>
      <w:tblGrid>
        <w:gridCol w:w="8774"/>
        <w:gridCol w:w="242"/>
      </w:tblGrid>
      <w:tr w:rsidR="00595BD1" w14:paraId="22490CA3" w14:textId="77777777" w:rsidTr="0074472B">
        <w:tc>
          <w:tcPr>
            <w:tcW w:w="8774" w:type="dxa"/>
          </w:tcPr>
          <w:p w14:paraId="737C9609" w14:textId="3A423436"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7777777" w:rsidR="00595BD1" w:rsidRDefault="00595BD1" w:rsidP="0074472B">
            <w:pPr>
              <w:jc w:val="right"/>
            </w:pP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955FAC" w14:paraId="0655F0AA" w14:textId="77777777" w:rsidTr="0074472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77777777" w:rsidR="00955FAC" w:rsidRDefault="00955FAC" w:rsidP="0074472B">
            <w:pPr>
              <w:jc w:val="right"/>
            </w:pP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6F2C79" w14:paraId="58BAA761" w14:textId="77777777" w:rsidTr="0074472B">
        <w:tc>
          <w:tcPr>
            <w:tcW w:w="8774" w:type="dxa"/>
          </w:tcPr>
          <w:p w14:paraId="49D86E08" w14:textId="031E9D4D" w:rsidR="006F2C79" w:rsidRPr="006A2353" w:rsidRDefault="006F2C79"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77777777" w:rsidR="006F2C79" w:rsidRDefault="006F2C79" w:rsidP="0074472B">
            <w:pPr>
              <w:jc w:val="right"/>
            </w:pPr>
          </w:p>
        </w:tc>
      </w:tr>
    </w:tbl>
    <w:p w14:paraId="6FD7C202" w14:textId="3AA52B5A" w:rsidR="002B0353"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p>
    <w:p w14:paraId="763362AE" w14:textId="77777777" w:rsidR="008D3B27" w:rsidRDefault="008D3B27" w:rsidP="00653685"/>
    <w:p w14:paraId="4E178A78" w14:textId="646309A2" w:rsidR="00053992" w:rsidRPr="00FB0527" w:rsidRDefault="00053992" w:rsidP="00053992">
      <w:pPr>
        <w:pStyle w:val="Heading1"/>
      </w:pPr>
      <w:r>
        <w:t>8</w:t>
      </w:r>
      <w:r w:rsidRPr="00FB0527">
        <w:t xml:space="preserve">. </w:t>
      </w:r>
      <w:r>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053992" w14:paraId="04C35E2C" w14:textId="77777777" w:rsidTr="00053992">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032ACF2D" w:rsidR="00053992" w:rsidRDefault="00053992" w:rsidP="00852253">
            <w:pPr>
              <w:jc w:val="right"/>
            </w:pP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1A7FA2"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Look w:val="04A0" w:firstRow="1" w:lastRow="0" w:firstColumn="1" w:lastColumn="0" w:noHBand="0" w:noVBand="1"/>
      </w:tblPr>
      <w:tblGrid>
        <w:gridCol w:w="8774"/>
        <w:gridCol w:w="242"/>
      </w:tblGrid>
      <w:tr w:rsidR="00053992" w14:paraId="6176566D" w14:textId="77777777" w:rsidTr="00053992">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4FE536D7" w:rsidR="00053992" w:rsidRDefault="00053992" w:rsidP="00852253">
            <w:pPr>
              <w:jc w:val="right"/>
            </w:pP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1A7FA2"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Look w:val="04A0" w:firstRow="1" w:lastRow="0" w:firstColumn="1" w:lastColumn="0" w:noHBand="0" w:noVBand="1"/>
      </w:tblPr>
      <w:tblGrid>
        <w:gridCol w:w="8774"/>
        <w:gridCol w:w="242"/>
      </w:tblGrid>
      <w:tr w:rsidR="00053992" w14:paraId="7C64E886" w14:textId="77777777" w:rsidTr="00053992">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C600FB7" w:rsidR="00053992" w:rsidRDefault="00053992" w:rsidP="00852253">
            <w:pPr>
              <w:jc w:val="right"/>
            </w:pPr>
          </w:p>
        </w:tc>
      </w:tr>
    </w:tbl>
    <w:p w14:paraId="46395ED5" w14:textId="001087DF" w:rsidR="00053992" w:rsidRPr="00C0265B" w:rsidRDefault="00053992" w:rsidP="00053992">
      <w:r w:rsidRPr="00C0265B">
        <w:lastRenderedPageBreak/>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6F5A35" w14:paraId="3F42494A" w14:textId="77777777" w:rsidTr="006F5A35">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878B55D" w:rsidR="006F5A35" w:rsidRDefault="006F5A35" w:rsidP="00852253">
            <w:pPr>
              <w:jc w:val="right"/>
            </w:pP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Look w:val="04A0" w:firstRow="1" w:lastRow="0" w:firstColumn="1" w:lastColumn="0" w:noHBand="0" w:noVBand="1"/>
      </w:tblPr>
      <w:tblGrid>
        <w:gridCol w:w="8774"/>
        <w:gridCol w:w="242"/>
      </w:tblGrid>
      <w:tr w:rsidR="006F5A35" w14:paraId="6F27ED54" w14:textId="77777777" w:rsidTr="006F5A35">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3C8F4859" w:rsidR="006F5A35" w:rsidRDefault="006F5A35" w:rsidP="00852253">
            <w:pPr>
              <w:jc w:val="right"/>
            </w:pP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Look w:val="04A0" w:firstRow="1" w:lastRow="0" w:firstColumn="1" w:lastColumn="0" w:noHBand="0" w:noVBand="1"/>
      </w:tblPr>
      <w:tblGrid>
        <w:gridCol w:w="8774"/>
        <w:gridCol w:w="242"/>
      </w:tblGrid>
      <w:tr w:rsidR="006F5A35" w14:paraId="0970604B" w14:textId="77777777" w:rsidTr="006F5A35">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0B603F44" w:rsidR="006F5A35" w:rsidRDefault="006F5A35" w:rsidP="00852253">
            <w:pPr>
              <w:jc w:val="right"/>
            </w:pP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 xml:space="preserve">in is a terminology indicating domain of rating values, for example, if rating values range from 1 to 5, we have </w:t>
      </w:r>
      <w:r w:rsidRPr="00C0265B">
        <w:lastRenderedPageBreak/>
        <w:t>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Look w:val="04A0" w:firstRow="1" w:lastRow="0" w:firstColumn="1" w:lastColumn="0" w:noHBand="0" w:noVBand="1"/>
      </w:tblPr>
      <w:tblGrid>
        <w:gridCol w:w="8774"/>
        <w:gridCol w:w="242"/>
      </w:tblGrid>
      <w:tr w:rsidR="00456370" w14:paraId="27F829C9" w14:textId="77777777" w:rsidTr="00456370">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CE5AA45" w:rsidR="00456370" w:rsidRDefault="00456370" w:rsidP="00852253">
            <w:pPr>
              <w:jc w:val="right"/>
            </w:pP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1A7FA2"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Look w:val="04A0" w:firstRow="1" w:lastRow="0" w:firstColumn="1" w:lastColumn="0" w:noHBand="0" w:noVBand="1"/>
      </w:tblPr>
      <w:tblGrid>
        <w:gridCol w:w="8774"/>
        <w:gridCol w:w="242"/>
      </w:tblGrid>
      <w:tr w:rsidR="00456370" w14:paraId="35AC7CDD" w14:textId="77777777" w:rsidTr="00456370">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2689A707" w:rsidR="00456370" w:rsidRDefault="00456370" w:rsidP="00852253">
            <w:pPr>
              <w:jc w:val="right"/>
            </w:pP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4575B654" w:rsidR="001478A7" w:rsidRPr="00FB0527" w:rsidRDefault="001478A7" w:rsidP="001478A7">
      <w:pPr>
        <w:pStyle w:val="Heading1"/>
      </w:pPr>
      <w:r>
        <w:t>11</w:t>
      </w:r>
      <w:r w:rsidRPr="00FB0527">
        <w:t xml:space="preserve">. </w:t>
      </w:r>
      <w:r>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0B2766B2" w14:textId="77777777" w:rsidTr="00F56277">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38F69A3F" w:rsidR="001478A7" w:rsidRDefault="001478A7" w:rsidP="00393B52">
            <w:pPr>
              <w:jc w:val="right"/>
            </w:pP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45CF357E" w14:textId="77777777" w:rsidTr="00F56277">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7CA60BD2" w:rsidR="001478A7" w:rsidRDefault="001478A7" w:rsidP="00393B52">
            <w:pPr>
              <w:jc w:val="right"/>
            </w:pP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75B923E3" w:rsidR="00F56277" w:rsidRPr="00FB0527" w:rsidRDefault="00F56277" w:rsidP="00F56277">
      <w:pPr>
        <w:pStyle w:val="Heading1"/>
      </w:pPr>
      <w:r>
        <w:t>1</w:t>
      </w:r>
      <w:r w:rsidR="000A5FA4">
        <w:t>2</w:t>
      </w:r>
      <w:r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1A7FA2"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lastRenderedPageBreak/>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1A7FA2"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1A7FA2"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Look w:val="04A0" w:firstRow="1" w:lastRow="0" w:firstColumn="1" w:lastColumn="0" w:noHBand="0" w:noVBand="1"/>
      </w:tblPr>
      <w:tblGrid>
        <w:gridCol w:w="8774"/>
        <w:gridCol w:w="242"/>
      </w:tblGrid>
      <w:tr w:rsidR="000A5FA4" w14:paraId="49FE6563" w14:textId="77777777" w:rsidTr="000A5FA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58781005" w:rsidR="000A5FA4" w:rsidRDefault="000A5FA4" w:rsidP="00393B52">
            <w:pPr>
              <w:jc w:val="right"/>
            </w:pP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1195B37F" w:rsidR="000A5FA4" w:rsidRPr="00FB0527" w:rsidRDefault="000A5FA4" w:rsidP="000A5FA4">
      <w:pPr>
        <w:pStyle w:val="Heading1"/>
      </w:pPr>
      <w:r>
        <w:t>13</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Look w:val="04A0" w:firstRow="1" w:lastRow="0" w:firstColumn="1" w:lastColumn="0" w:noHBand="0" w:noVBand="1"/>
      </w:tblPr>
      <w:tblGrid>
        <w:gridCol w:w="8774"/>
        <w:gridCol w:w="242"/>
      </w:tblGrid>
      <w:tr w:rsidR="000A5FA4" w14:paraId="03BB7E81" w14:textId="77777777" w:rsidTr="000A5FA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4C635700" w:rsidR="000A5FA4" w:rsidRDefault="000A5FA4" w:rsidP="00393B52">
            <w:pPr>
              <w:jc w:val="right"/>
            </w:pP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Look w:val="04A0" w:firstRow="1" w:lastRow="0" w:firstColumn="1" w:lastColumn="0" w:noHBand="0" w:noVBand="1"/>
      </w:tblPr>
      <w:tblGrid>
        <w:gridCol w:w="8774"/>
        <w:gridCol w:w="242"/>
      </w:tblGrid>
      <w:tr w:rsidR="000A5FA4" w14:paraId="274B0320" w14:textId="77777777" w:rsidTr="000A5FA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688F731B" w:rsidR="000A5FA4" w:rsidRDefault="000A5FA4" w:rsidP="00393B52">
            <w:pPr>
              <w:jc w:val="right"/>
            </w:pP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08D8BE22" w:rsidR="000A5FA4" w:rsidRPr="00FB0527" w:rsidRDefault="000A5FA4" w:rsidP="000A5FA4">
      <w:pPr>
        <w:pStyle w:val="Heading1"/>
      </w:pPr>
      <w:r>
        <w:t>14</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4A3385" w14:paraId="4E187588" w14:textId="77777777" w:rsidTr="0080117C">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CE7C855" w:rsidR="004A3385" w:rsidRDefault="004A3385" w:rsidP="00393B52">
            <w:pPr>
              <w:jc w:val="right"/>
            </w:pP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Look w:val="04A0" w:firstRow="1" w:lastRow="0" w:firstColumn="1" w:lastColumn="0" w:noHBand="0" w:noVBand="1"/>
      </w:tblPr>
      <w:tblGrid>
        <w:gridCol w:w="8774"/>
        <w:gridCol w:w="242"/>
      </w:tblGrid>
      <w:tr w:rsidR="004A3385" w14:paraId="286D21DC" w14:textId="77777777" w:rsidTr="0080117C">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1D5AEC8F" w:rsidR="004A3385" w:rsidRDefault="004A3385" w:rsidP="00393B52">
            <w:pPr>
              <w:jc w:val="right"/>
            </w:pPr>
          </w:p>
        </w:tc>
      </w:tr>
    </w:tbl>
    <w:p w14:paraId="499E9E91" w14:textId="686DEE11" w:rsidR="001478A7" w:rsidRDefault="001478A7" w:rsidP="00653685"/>
    <w:p w14:paraId="72732FC0" w14:textId="6860A516" w:rsidR="0080117C" w:rsidRPr="00FB0527" w:rsidRDefault="0080117C" w:rsidP="0080117C">
      <w:pPr>
        <w:pStyle w:val="Heading1"/>
      </w:pPr>
      <w:r>
        <w:t>15</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Look w:val="04A0" w:firstRow="1" w:lastRow="0" w:firstColumn="1" w:lastColumn="0" w:noHBand="0" w:noVBand="1"/>
      </w:tblPr>
      <w:tblGrid>
        <w:gridCol w:w="8220"/>
        <w:gridCol w:w="796"/>
      </w:tblGrid>
      <w:tr w:rsidR="0080117C" w14:paraId="061EF8B0" w14:textId="77777777" w:rsidTr="00D17DC2">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Look w:val="04A0" w:firstRow="1" w:lastRow="0" w:firstColumn="1" w:lastColumn="0" w:noHBand="0" w:noVBand="1"/>
      </w:tblPr>
      <w:tblGrid>
        <w:gridCol w:w="8220"/>
        <w:gridCol w:w="796"/>
      </w:tblGrid>
      <w:tr w:rsidR="0080117C" w14:paraId="43F2BB32" w14:textId="77777777" w:rsidTr="00D17DC2">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1A7FA2"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w:t>
      </w:r>
      <w:r>
        <w:lastRenderedPageBreak/>
        <w:t xml:space="preserve">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Look w:val="04A0" w:firstRow="1" w:lastRow="0" w:firstColumn="1" w:lastColumn="0" w:noHBand="0" w:noVBand="1"/>
      </w:tblPr>
      <w:tblGrid>
        <w:gridCol w:w="8220"/>
        <w:gridCol w:w="796"/>
      </w:tblGrid>
      <w:tr w:rsidR="0080117C" w14:paraId="0B43636E" w14:textId="77777777" w:rsidTr="00D17DC2">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4B1CA01B" w:rsidR="0080117C" w:rsidRDefault="0080117C" w:rsidP="00653685"/>
    <w:p w14:paraId="6C81D2C0" w14:textId="5E402178" w:rsidR="00D17DC2" w:rsidRPr="00FB0527" w:rsidRDefault="00D17DC2" w:rsidP="00D17DC2">
      <w:pPr>
        <w:pStyle w:val="Heading1"/>
      </w:pPr>
      <w:r>
        <w:t>16</w:t>
      </w:r>
      <w:r w:rsidRPr="00FB0527">
        <w:t xml:space="preserve">. </w:t>
      </w:r>
      <w:r>
        <w:t>NNMS</w:t>
      </w:r>
    </w:p>
    <w:p w14:paraId="76B050A3" w14:textId="26ECED6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measure (NNMS) which concerns magnitude rating values and keeps strong point of Jaccard measure. In other words, NNMS combines sums of rating values and cardinalities of item sets. Equation </w:t>
      </w:r>
      <w:r w:rsidR="00B93F0C">
        <w:t>16.1</w:t>
      </w:r>
      <w:r>
        <w:t xml:space="preserve"> specifies NNMS.</w:t>
      </w:r>
    </w:p>
    <w:tbl>
      <w:tblPr>
        <w:tblStyle w:val="TableGrid"/>
        <w:tblW w:w="0" w:type="auto"/>
        <w:tblLook w:val="04A0" w:firstRow="1" w:lastRow="0" w:firstColumn="1" w:lastColumn="0" w:noHBand="0" w:noVBand="1"/>
      </w:tblPr>
      <w:tblGrid>
        <w:gridCol w:w="8220"/>
        <w:gridCol w:w="796"/>
      </w:tblGrid>
      <w:tr w:rsidR="00D17DC2" w14:paraId="0596ACE3" w14:textId="77777777" w:rsidTr="00B93F0C">
        <w:tc>
          <w:tcPr>
            <w:tcW w:w="8774" w:type="dxa"/>
          </w:tcPr>
          <w:p w14:paraId="651282CF" w14:textId="77777777" w:rsidR="00D17DC2" w:rsidRPr="00B75003" w:rsidRDefault="00D17DC2" w:rsidP="00393B5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77777777"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NNMS is an </w:t>
      </w:r>
      <w:proofErr w:type="gramStart"/>
      <w:r>
        <w:t>interesting advanced</w:t>
      </w:r>
      <w:proofErr w:type="gramEnd"/>
      <w:r>
        <w:t xml:space="preserve"> variant of cosine measure with support of Jaccard measure. However, NNMS is totally different from combination of cosine and Jaccard as </w:t>
      </w:r>
      <w:proofErr w:type="spellStart"/>
      <w:r>
        <w:t>CosineJ</w:t>
      </w:r>
      <w:proofErr w:type="spellEnd"/>
      <w:r>
        <w:t xml:space="preserve">. Experimental section will mention evaluation of NNMS and </w:t>
      </w:r>
      <w:proofErr w:type="spellStart"/>
      <w:r>
        <w:t>CosineJ</w:t>
      </w:r>
      <w:proofErr w:type="spellEnd"/>
      <w:r>
        <w:t xml:space="preserve">. Anyway, NNMS is simpler than </w:t>
      </w:r>
      <w:proofErr w:type="spellStart"/>
      <w:r>
        <w:t>CosineJ</w:t>
      </w:r>
      <w:proofErr w:type="spellEnd"/>
      <w:r>
        <w:t>.</w:t>
      </w:r>
    </w:p>
    <w:p w14:paraId="604BA2D2" w14:textId="77777777"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77777777" w:rsidR="00D17DC2" w:rsidRDefault="00D17DC2" w:rsidP="00D17DC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6583CD8" w:rsidR="005C28B4" w:rsidRPr="00FB0527" w:rsidRDefault="005C28B4" w:rsidP="005C28B4">
      <w:pPr>
        <w:pStyle w:val="Heading1"/>
      </w:pPr>
      <w:r>
        <w:t>17</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Look w:val="04A0" w:firstRow="1" w:lastRow="0" w:firstColumn="1" w:lastColumn="0" w:noHBand="0" w:noVBand="1"/>
      </w:tblPr>
      <w:tblGrid>
        <w:gridCol w:w="8220"/>
        <w:gridCol w:w="796"/>
      </w:tblGrid>
      <w:tr w:rsidR="005C28B4" w:rsidRPr="00C0265B" w14:paraId="483CC19E" w14:textId="77777777" w:rsidTr="00D64F84">
        <w:tc>
          <w:tcPr>
            <w:tcW w:w="8634" w:type="dxa"/>
          </w:tcPr>
          <w:p w14:paraId="452B7191" w14:textId="77777777" w:rsidR="005C28B4" w:rsidRPr="00C0265B" w:rsidRDefault="001A7FA2"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1A7FA2"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Look w:val="04A0" w:firstRow="1" w:lastRow="0" w:firstColumn="1" w:lastColumn="0" w:noHBand="0" w:noVBand="1"/>
      </w:tblPr>
      <w:tblGrid>
        <w:gridCol w:w="8220"/>
        <w:gridCol w:w="796"/>
      </w:tblGrid>
      <w:tr w:rsidR="005C28B4" w:rsidRPr="00C0265B" w14:paraId="06A0726D" w14:textId="77777777" w:rsidTr="005C28B4">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Look w:val="04A0" w:firstRow="1" w:lastRow="0" w:firstColumn="1" w:lastColumn="0" w:noHBand="0" w:noVBand="1"/>
      </w:tblPr>
      <w:tblGrid>
        <w:gridCol w:w="8220"/>
        <w:gridCol w:w="796"/>
      </w:tblGrid>
      <w:tr w:rsidR="005C28B4" w:rsidRPr="00C0265B" w14:paraId="2645DB29" w14:textId="77777777" w:rsidTr="00C3375B">
        <w:tc>
          <w:tcPr>
            <w:tcW w:w="8634" w:type="dxa"/>
          </w:tcPr>
          <w:p w14:paraId="7A886C66" w14:textId="77777777" w:rsidR="005C28B4" w:rsidRPr="00C0265B" w:rsidRDefault="001A7FA2"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lastRenderedPageBreak/>
        <w:t>By combined with Jaccard measure, TAN measure becomes TANJ measure</w:t>
      </w:r>
      <w:r>
        <w:t xml:space="preserve"> as follows:</w:t>
      </w:r>
    </w:p>
    <w:tbl>
      <w:tblPr>
        <w:tblStyle w:val="TableGrid"/>
        <w:tblW w:w="0" w:type="auto"/>
        <w:tblLook w:val="04A0" w:firstRow="1" w:lastRow="0" w:firstColumn="1" w:lastColumn="0" w:noHBand="0" w:noVBand="1"/>
      </w:tblPr>
      <w:tblGrid>
        <w:gridCol w:w="8220"/>
        <w:gridCol w:w="796"/>
      </w:tblGrid>
      <w:tr w:rsidR="005C28B4" w:rsidRPr="00C0265B" w14:paraId="0BCA5743" w14:textId="77777777" w:rsidTr="005C28B4">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57C7F82D" w:rsidR="00633A10" w:rsidRPr="00FB0527" w:rsidRDefault="00633A10" w:rsidP="00633A10">
      <w:pPr>
        <w:pStyle w:val="Heading1"/>
      </w:pPr>
      <w:r>
        <w:t>18</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Look w:val="04A0" w:firstRow="1" w:lastRow="0" w:firstColumn="1" w:lastColumn="0" w:noHBand="0" w:noVBand="1"/>
      </w:tblPr>
      <w:tblGrid>
        <w:gridCol w:w="8774"/>
        <w:gridCol w:w="242"/>
      </w:tblGrid>
      <w:tr w:rsidR="00EE571B" w:rsidRPr="00C0265B" w14:paraId="43198CE1" w14:textId="77777777" w:rsidTr="002159EB">
        <w:tc>
          <w:tcPr>
            <w:tcW w:w="8774" w:type="dxa"/>
          </w:tcPr>
          <w:p w14:paraId="21C5E4BB" w14:textId="3E974059" w:rsidR="00EE571B" w:rsidRPr="00EE571B" w:rsidRDefault="001A7FA2"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3E6855" w:rsidR="00EE571B" w:rsidRPr="00C0265B" w:rsidRDefault="00EE571B" w:rsidP="002159EB">
            <w:pPr>
              <w:jc w:val="right"/>
              <w:rPr>
                <w:rFonts w:eastAsiaTheme="minorEastAsia"/>
                <w:szCs w:val="24"/>
              </w:rPr>
            </w:pP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1A7FA2"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Look w:val="04A0" w:firstRow="1" w:lastRow="0" w:firstColumn="1" w:lastColumn="0" w:noHBand="0" w:noVBand="1"/>
      </w:tblPr>
      <w:tblGrid>
        <w:gridCol w:w="8774"/>
        <w:gridCol w:w="242"/>
      </w:tblGrid>
      <w:tr w:rsidR="003A1C5B" w:rsidRPr="00C0265B" w14:paraId="0002D225" w14:textId="77777777" w:rsidTr="002159EB">
        <w:tc>
          <w:tcPr>
            <w:tcW w:w="8774" w:type="dxa"/>
          </w:tcPr>
          <w:p w14:paraId="0E21B86B" w14:textId="5CAA1B95" w:rsidR="003A1C5B" w:rsidRPr="00EE571B" w:rsidRDefault="001A7FA2"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7777777" w:rsidR="003A1C5B" w:rsidRPr="00C0265B" w:rsidRDefault="003A1C5B" w:rsidP="002159EB">
            <w:pPr>
              <w:jc w:val="right"/>
              <w:rPr>
                <w:rFonts w:eastAsiaTheme="minorEastAsia"/>
                <w:szCs w:val="24"/>
              </w:rPr>
            </w:pP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Look w:val="04A0" w:firstRow="1" w:lastRow="0" w:firstColumn="1" w:lastColumn="0" w:noHBand="0" w:noVBand="1"/>
      </w:tblPr>
      <w:tblGrid>
        <w:gridCol w:w="8774"/>
        <w:gridCol w:w="242"/>
      </w:tblGrid>
      <w:tr w:rsidR="008747C0" w:rsidRPr="00C0265B" w14:paraId="6BAADB91" w14:textId="77777777" w:rsidTr="002159EB">
        <w:tc>
          <w:tcPr>
            <w:tcW w:w="8774" w:type="dxa"/>
          </w:tcPr>
          <w:p w14:paraId="6BD08416" w14:textId="3881DD03" w:rsidR="008747C0" w:rsidRPr="00EE571B" w:rsidRDefault="001A7FA2"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77777777" w:rsidR="008747C0" w:rsidRPr="00C0265B" w:rsidRDefault="008747C0" w:rsidP="002159EB">
            <w:pPr>
              <w:jc w:val="right"/>
              <w:rPr>
                <w:rFonts w:eastAsiaTheme="minorEastAsia"/>
                <w:szCs w:val="24"/>
              </w:rPr>
            </w:pPr>
          </w:p>
        </w:tc>
      </w:tr>
    </w:tbl>
    <w:p w14:paraId="2F9ADFEF" w14:textId="7EB00EC7" w:rsidR="003A1C5B" w:rsidRDefault="003A1C5B" w:rsidP="00653685"/>
    <w:p w14:paraId="7B800145" w14:textId="7EC072AE" w:rsidR="00932B25" w:rsidRPr="00FB0527" w:rsidRDefault="00932B25" w:rsidP="00932B25">
      <w:pPr>
        <w:pStyle w:val="Heading1"/>
      </w:pPr>
      <w:r>
        <w:t>19</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Look w:val="04A0" w:firstRow="1" w:lastRow="0" w:firstColumn="1" w:lastColumn="0" w:noHBand="0" w:noVBand="1"/>
      </w:tblPr>
      <w:tblGrid>
        <w:gridCol w:w="8774"/>
        <w:gridCol w:w="242"/>
      </w:tblGrid>
      <w:tr w:rsidR="00E0416E" w:rsidRPr="00C0265B" w14:paraId="44CF8B59" w14:textId="77777777" w:rsidTr="001C393B">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77777777" w:rsidR="00E0416E" w:rsidRPr="00C0265B" w:rsidRDefault="00E0416E" w:rsidP="001C393B">
            <w:pPr>
              <w:jc w:val="right"/>
              <w:rPr>
                <w:rFonts w:eastAsiaTheme="minorEastAsia"/>
                <w:szCs w:val="24"/>
              </w:rPr>
            </w:pP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Look w:val="04A0" w:firstRow="1" w:lastRow="0" w:firstColumn="1" w:lastColumn="0" w:noHBand="0" w:noVBand="1"/>
      </w:tblPr>
      <w:tblGrid>
        <w:gridCol w:w="8774"/>
        <w:gridCol w:w="242"/>
      </w:tblGrid>
      <w:tr w:rsidR="00236CE4" w:rsidRPr="00C0265B" w14:paraId="4390524A" w14:textId="77777777" w:rsidTr="001C393B">
        <w:tc>
          <w:tcPr>
            <w:tcW w:w="8774" w:type="dxa"/>
          </w:tcPr>
          <w:p w14:paraId="20825939" w14:textId="2700F220" w:rsidR="00236CE4" w:rsidRPr="00EE571B" w:rsidRDefault="001A7FA2"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777777" w:rsidR="00236CE4" w:rsidRPr="00C0265B" w:rsidRDefault="00236CE4" w:rsidP="001C393B">
            <w:pPr>
              <w:jc w:val="right"/>
              <w:rPr>
                <w:rFonts w:eastAsiaTheme="minorEastAsia"/>
                <w:szCs w:val="24"/>
              </w:rPr>
            </w:pPr>
          </w:p>
        </w:tc>
      </w:tr>
    </w:tbl>
    <w:p w14:paraId="12B1A705" w14:textId="1F116961" w:rsidR="00236CE4" w:rsidRDefault="00236CE4" w:rsidP="00236CE4"/>
    <w:tbl>
      <w:tblPr>
        <w:tblStyle w:val="TableGrid"/>
        <w:tblW w:w="0" w:type="auto"/>
        <w:tblLook w:val="04A0" w:firstRow="1" w:lastRow="0" w:firstColumn="1" w:lastColumn="0" w:noHBand="0" w:noVBand="1"/>
      </w:tblPr>
      <w:tblGrid>
        <w:gridCol w:w="8774"/>
        <w:gridCol w:w="242"/>
      </w:tblGrid>
      <w:tr w:rsidR="00236CE4" w:rsidRPr="00C0265B" w14:paraId="3C9B03E3" w14:textId="77777777" w:rsidTr="001C393B">
        <w:tc>
          <w:tcPr>
            <w:tcW w:w="8774" w:type="dxa"/>
          </w:tcPr>
          <w:p w14:paraId="44611EE4" w14:textId="044159ED" w:rsidR="00236CE4" w:rsidRPr="00EE571B" w:rsidRDefault="001A7FA2"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77777777" w:rsidR="00236CE4" w:rsidRPr="00C0265B" w:rsidRDefault="00236CE4" w:rsidP="001C393B">
            <w:pPr>
              <w:jc w:val="right"/>
              <w:rPr>
                <w:rFonts w:eastAsiaTheme="minorEastAsia"/>
                <w:szCs w:val="24"/>
              </w:rPr>
            </w:pPr>
          </w:p>
        </w:tc>
      </w:tr>
    </w:tbl>
    <w:p w14:paraId="21F0ECB0" w14:textId="79BDA4C3" w:rsidR="00236CE4" w:rsidRDefault="00236CE4" w:rsidP="00236CE4"/>
    <w:p w14:paraId="328CE878" w14:textId="075E8CC3" w:rsidR="005D30BD" w:rsidRPr="00FB0527" w:rsidRDefault="005D30BD" w:rsidP="005D30BD">
      <w:pPr>
        <w:pStyle w:val="Heading1"/>
      </w:pPr>
      <w:r>
        <w:t>20</w:t>
      </w:r>
      <w:r w:rsidRPr="00FB0527">
        <w:t xml:space="preserve">. </w:t>
      </w:r>
      <w:proofErr w:type="spellStart"/>
      <w:r w:rsidRPr="005D30BD">
        <w:t>Kullback</w:t>
      </w:r>
      <w:proofErr w:type="spellEnd"/>
      <w:r>
        <w:t xml:space="preserve"> - </w:t>
      </w:r>
      <w:proofErr w:type="spellStart"/>
      <w:r w:rsidRPr="005D30BD">
        <w:t>Leibler</w:t>
      </w:r>
      <w:proofErr w:type="spellEnd"/>
      <w:r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Look w:val="04A0" w:firstRow="1" w:lastRow="0" w:firstColumn="1" w:lastColumn="0" w:noHBand="0" w:noVBand="1"/>
      </w:tblPr>
      <w:tblGrid>
        <w:gridCol w:w="8774"/>
        <w:gridCol w:w="242"/>
      </w:tblGrid>
      <w:tr w:rsidR="005D30BD" w:rsidRPr="00C0265B" w14:paraId="5B8D97D9" w14:textId="77777777" w:rsidTr="001C393B">
        <w:tc>
          <w:tcPr>
            <w:tcW w:w="8774" w:type="dxa"/>
          </w:tcPr>
          <w:p w14:paraId="284F416A" w14:textId="66279C5B" w:rsidR="005D30BD" w:rsidRPr="00EE571B" w:rsidRDefault="001A7FA2"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77777777" w:rsidR="005D30BD" w:rsidRPr="00C0265B" w:rsidRDefault="005D30BD" w:rsidP="001C393B">
            <w:pPr>
              <w:jc w:val="right"/>
              <w:rPr>
                <w:rFonts w:eastAsiaTheme="minorEastAsia"/>
                <w:szCs w:val="24"/>
              </w:rPr>
            </w:pP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Look w:val="04A0" w:firstRow="1" w:lastRow="0" w:firstColumn="1" w:lastColumn="0" w:noHBand="0" w:noVBand="1"/>
      </w:tblPr>
      <w:tblGrid>
        <w:gridCol w:w="8774"/>
        <w:gridCol w:w="242"/>
      </w:tblGrid>
      <w:tr w:rsidR="007F299E" w:rsidRPr="00C0265B" w14:paraId="037E8906" w14:textId="77777777" w:rsidTr="001C393B">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77777777" w:rsidR="007F299E" w:rsidRPr="00C0265B" w:rsidRDefault="007F299E" w:rsidP="001C393B">
            <w:pPr>
              <w:jc w:val="right"/>
              <w:rPr>
                <w:rFonts w:eastAsiaTheme="minorEastAsia"/>
                <w:szCs w:val="24"/>
              </w:rPr>
            </w:pP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1A7FA2"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proofErr w:type="gramStart"/>
      <w:r w:rsidR="00062E4C">
        <w:t>sim</w:t>
      </w:r>
      <w:r w:rsidR="00062E4C" w:rsidRPr="00062E4C">
        <w:rPr>
          <w:vertAlign w:val="subscript"/>
        </w:rPr>
        <w:t>item</w:t>
      </w:r>
      <w:proofErr w:type="spellEnd"/>
      <w:r w:rsidR="00062E4C">
        <w:t>(</w:t>
      </w:r>
      <w:proofErr w:type="gramEnd"/>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Look w:val="04A0" w:firstRow="1" w:lastRow="0" w:firstColumn="1" w:lastColumn="0" w:noHBand="0" w:noVBand="1"/>
      </w:tblPr>
      <w:tblGrid>
        <w:gridCol w:w="8774"/>
        <w:gridCol w:w="242"/>
      </w:tblGrid>
      <w:tr w:rsidR="007F299E" w:rsidRPr="00C0265B" w14:paraId="2116AEF7" w14:textId="77777777" w:rsidTr="001C393B">
        <w:tc>
          <w:tcPr>
            <w:tcW w:w="8774" w:type="dxa"/>
          </w:tcPr>
          <w:p w14:paraId="285B5391" w14:textId="228E5C2D" w:rsidR="007F299E" w:rsidRPr="00EE571B" w:rsidRDefault="001A7FA2"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77777777" w:rsidR="007F299E" w:rsidRPr="00C0265B" w:rsidRDefault="007F299E" w:rsidP="001C393B">
            <w:pPr>
              <w:jc w:val="right"/>
              <w:rPr>
                <w:rFonts w:eastAsiaTheme="minorEastAsia"/>
                <w:szCs w:val="24"/>
              </w:rPr>
            </w:pPr>
          </w:p>
        </w:tc>
      </w:tr>
    </w:tbl>
    <w:p w14:paraId="51C8E0C1" w14:textId="14A45990"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be the minimum value and maximum value of ratings.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1A7FA2"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1A7FA2"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33276F70" w:rsidR="00A9538E" w:rsidRPr="00FB0527" w:rsidRDefault="00A9538E" w:rsidP="00A9538E">
      <w:pPr>
        <w:pStyle w:val="Heading1"/>
      </w:pPr>
      <w:r>
        <w:lastRenderedPageBreak/>
        <w:t>21</w:t>
      </w:r>
      <w:r w:rsidRPr="00FB0527">
        <w:t xml:space="preserve">. </w:t>
      </w:r>
      <w:r>
        <w:t>OS</w:t>
      </w:r>
    </w:p>
    <w:p w14:paraId="25612656" w14:textId="729E8C5C" w:rsidR="003C69C6" w:rsidRDefault="00A94BB8" w:rsidP="00236CE4">
      <w:proofErr w:type="spellStart"/>
      <w:r>
        <w:t>Gazdar</w:t>
      </w:r>
      <w:proofErr w:type="spellEnd"/>
      <w:r>
        <w:t xml:space="preserve">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Look w:val="04A0" w:firstRow="1" w:lastRow="0" w:firstColumn="1" w:lastColumn="0" w:noHBand="0" w:noVBand="1"/>
      </w:tblPr>
      <w:tblGrid>
        <w:gridCol w:w="8774"/>
        <w:gridCol w:w="242"/>
      </w:tblGrid>
      <w:tr w:rsidR="00AD064B" w:rsidRPr="00C0265B" w14:paraId="7C138BCE" w14:textId="77777777" w:rsidTr="00130A44">
        <w:tc>
          <w:tcPr>
            <w:tcW w:w="8774" w:type="dxa"/>
          </w:tcPr>
          <w:p w14:paraId="539102DE" w14:textId="6D5FBEF0" w:rsidR="00AD064B" w:rsidRPr="00EE571B" w:rsidRDefault="00AD064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77777777" w:rsidR="00AD064B" w:rsidRPr="00C0265B" w:rsidRDefault="00AD064B" w:rsidP="00130A44">
            <w:pPr>
              <w:jc w:val="right"/>
              <w:rPr>
                <w:rFonts w:eastAsiaTheme="minorEastAsia"/>
                <w:szCs w:val="24"/>
              </w:rPr>
            </w:pP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Look w:val="04A0" w:firstRow="1" w:lastRow="0" w:firstColumn="1" w:lastColumn="0" w:noHBand="0" w:noVBand="1"/>
      </w:tblPr>
      <w:tblGrid>
        <w:gridCol w:w="8774"/>
        <w:gridCol w:w="242"/>
      </w:tblGrid>
      <w:tr w:rsidR="00AD064B" w:rsidRPr="00C0265B" w14:paraId="5C5DD281" w14:textId="77777777" w:rsidTr="00130A44">
        <w:tc>
          <w:tcPr>
            <w:tcW w:w="8774" w:type="dxa"/>
          </w:tcPr>
          <w:p w14:paraId="34DCF226" w14:textId="027D0FC4" w:rsidR="00AD064B" w:rsidRPr="00EE571B" w:rsidRDefault="00AD064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77777777" w:rsidR="00AD064B" w:rsidRPr="00C0265B" w:rsidRDefault="00AD064B" w:rsidP="00130A44">
            <w:pPr>
              <w:jc w:val="right"/>
              <w:rPr>
                <w:rFonts w:eastAsiaTheme="minorEastAsia"/>
                <w:szCs w:val="24"/>
              </w:rPr>
            </w:pPr>
          </w:p>
        </w:tc>
      </w:tr>
    </w:tbl>
    <w:p w14:paraId="77573C2E" w14:textId="3AA8DB6B" w:rsidR="00AD064B" w:rsidRDefault="00AD064B" w:rsidP="00236CE4"/>
    <w:tbl>
      <w:tblPr>
        <w:tblStyle w:val="TableGrid"/>
        <w:tblW w:w="0" w:type="auto"/>
        <w:tblLook w:val="04A0" w:firstRow="1" w:lastRow="0" w:firstColumn="1" w:lastColumn="0" w:noHBand="0" w:noVBand="1"/>
      </w:tblPr>
      <w:tblGrid>
        <w:gridCol w:w="8774"/>
        <w:gridCol w:w="242"/>
      </w:tblGrid>
      <w:tr w:rsidR="00D742FC" w:rsidRPr="00C0265B" w14:paraId="621EF26B" w14:textId="77777777" w:rsidTr="00130A44">
        <w:tc>
          <w:tcPr>
            <w:tcW w:w="8774" w:type="dxa"/>
          </w:tcPr>
          <w:p w14:paraId="58B7C458" w14:textId="115DDE86" w:rsidR="00D742FC" w:rsidRPr="00EE571B" w:rsidRDefault="00D742FC"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7777777" w:rsidR="00D742FC" w:rsidRPr="00C0265B" w:rsidRDefault="00D742FC" w:rsidP="00130A44">
            <w:pPr>
              <w:jc w:val="right"/>
              <w:rPr>
                <w:rFonts w:eastAsiaTheme="minorEastAsia"/>
                <w:szCs w:val="24"/>
              </w:rPr>
            </w:pPr>
          </w:p>
        </w:tc>
      </w:tr>
    </w:tbl>
    <w:p w14:paraId="4524B71E" w14:textId="1E57BCD6" w:rsidR="00AD064B" w:rsidRDefault="00AD064B" w:rsidP="00236CE4">
      <w:r>
        <w:t>Note, |</w:t>
      </w:r>
      <w:r w:rsidRPr="00AD064B">
        <w:rPr>
          <w:b/>
          <w:bCs/>
          <w:i/>
          <w:iCs/>
        </w:rPr>
        <w:t>V</w:t>
      </w:r>
      <w:r>
        <w:t>| is the number of all items</w:t>
      </w:r>
      <w:r w:rsidR="00D742FC">
        <w:t xml:space="preserve"> and </w:t>
      </w:r>
      <w:proofErr w:type="gramStart"/>
      <w:r w:rsidR="00D742FC">
        <w:t>max(</w:t>
      </w:r>
      <w:proofErr w:type="gramEnd"/>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proofErr w:type="spellStart"/>
      <w:proofErr w:type="gramStart"/>
      <w:r w:rsidR="00510D90" w:rsidRPr="00510D90">
        <w:t>pncr</w:t>
      </w:r>
      <w:proofErr w:type="spellEnd"/>
      <w:r w:rsidR="00510D90" w:rsidRPr="00510D90">
        <w:t>(</w:t>
      </w:r>
      <w:proofErr w:type="gramEnd"/>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proofErr w:type="spellStart"/>
      <w:r w:rsidR="00510D90" w:rsidRPr="00510D90">
        <w:t>adf</w:t>
      </w:r>
      <w:proofErr w:type="spellEnd"/>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0A0DD5DD" w:rsidR="002D1B40" w:rsidRPr="00FB0527" w:rsidRDefault="002D1B40" w:rsidP="002D1B40">
      <w:pPr>
        <w:pStyle w:val="Heading1"/>
      </w:pPr>
      <w:r>
        <w:t>22</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proofErr w:type="gramStart"/>
      <w:r>
        <w:t>Both of them</w:t>
      </w:r>
      <w:proofErr w:type="gramEnd"/>
      <w:r>
        <w:t xml:space="preserve">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Look w:val="04A0" w:firstRow="1" w:lastRow="0" w:firstColumn="1" w:lastColumn="0" w:noHBand="0" w:noVBand="1"/>
      </w:tblPr>
      <w:tblGrid>
        <w:gridCol w:w="8774"/>
        <w:gridCol w:w="242"/>
      </w:tblGrid>
      <w:tr w:rsidR="0088384F" w:rsidRPr="00C0265B" w14:paraId="3079B2C2" w14:textId="77777777" w:rsidTr="00130A44">
        <w:tc>
          <w:tcPr>
            <w:tcW w:w="8774" w:type="dxa"/>
          </w:tcPr>
          <w:p w14:paraId="4319B176" w14:textId="6E57E4B1" w:rsidR="0088384F" w:rsidRPr="00EE571B" w:rsidRDefault="0088384F"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77777777" w:rsidR="0088384F" w:rsidRPr="00C0265B" w:rsidRDefault="0088384F" w:rsidP="00130A44">
            <w:pPr>
              <w:jc w:val="right"/>
              <w:rPr>
                <w:rFonts w:eastAsiaTheme="minorEastAsia"/>
                <w:szCs w:val="24"/>
              </w:rPr>
            </w:pPr>
          </w:p>
        </w:tc>
      </w:tr>
    </w:tbl>
    <w:p w14:paraId="0D404414" w14:textId="3B7DAE7F" w:rsidR="002D1B40" w:rsidRDefault="002D1B40" w:rsidP="00236CE4"/>
    <w:p w14:paraId="505A9EFC" w14:textId="7958F17D" w:rsidR="007E03E6" w:rsidRPr="00FB0527" w:rsidRDefault="007E03E6" w:rsidP="007E03E6">
      <w:pPr>
        <w:pStyle w:val="Heading1"/>
      </w:pPr>
      <w:r>
        <w:t>23</w:t>
      </w:r>
      <w:r w:rsidRPr="00FB0527">
        <w:t xml:space="preserve">. </w:t>
      </w:r>
      <w:proofErr w:type="spellStart"/>
      <w:r>
        <w:t>ES</w:t>
      </w:r>
      <w:r w:rsidR="008B6529">
        <w:t>im</w:t>
      </w:r>
      <w:proofErr w:type="spellEnd"/>
    </w:p>
    <w:p w14:paraId="5E89548E" w14:textId="5C4470E8" w:rsidR="00695680" w:rsidRDefault="008B6529" w:rsidP="00695680">
      <w:proofErr w:type="spellStart"/>
      <w:r>
        <w:t>ESim</w:t>
      </w:r>
      <w:proofErr w:type="spellEnd"/>
      <w:r>
        <w:t xml:space="preserve"> measure developed by Ali Amer and implemented by Loc Nguyen alleviates missing values by replacing </w:t>
      </w:r>
      <w:r w:rsidR="00615A03">
        <w:t>the</w:t>
      </w:r>
      <w:r>
        <w:t xml:space="preserve"> missing values by 1 (s) if there exist concrete ratings. For instance, </w:t>
      </w:r>
      <w:proofErr w:type="spellStart"/>
      <w:r>
        <w:t>ESim</w:t>
      </w:r>
      <w:proofErr w:type="spellEnd"/>
      <w:r>
        <w:t xml:space="preserve"> is specified as follows:</w:t>
      </w:r>
    </w:p>
    <w:tbl>
      <w:tblPr>
        <w:tblStyle w:val="TableGrid"/>
        <w:tblW w:w="0" w:type="auto"/>
        <w:tblLook w:val="04A0" w:firstRow="1" w:lastRow="0" w:firstColumn="1" w:lastColumn="0" w:noHBand="0" w:noVBand="1"/>
      </w:tblPr>
      <w:tblGrid>
        <w:gridCol w:w="8774"/>
        <w:gridCol w:w="242"/>
      </w:tblGrid>
      <w:tr w:rsidR="008B6529" w:rsidRPr="00C0265B" w14:paraId="1244D8D6" w14:textId="77777777" w:rsidTr="00D164FA">
        <w:tc>
          <w:tcPr>
            <w:tcW w:w="8774" w:type="dxa"/>
          </w:tcPr>
          <w:p w14:paraId="125E82F8" w14:textId="6827EBF1" w:rsidR="00D40FA6" w:rsidRPr="00833BFD" w:rsidRDefault="004648F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77777777" w:rsidR="008B6529" w:rsidRPr="00C0265B" w:rsidRDefault="008B6529" w:rsidP="00D164FA">
            <w:pPr>
              <w:jc w:val="right"/>
              <w:rPr>
                <w:rFonts w:eastAsiaTheme="minorEastAsia"/>
                <w:szCs w:val="24"/>
              </w:rPr>
            </w:pPr>
          </w:p>
        </w:tc>
      </w:tr>
    </w:tbl>
    <w:p w14:paraId="02C79600" w14:textId="566C8C50" w:rsidR="00833BFD" w:rsidRDefault="00833BFD" w:rsidP="00833BFD">
      <w:proofErr w:type="gramStart"/>
      <w:r>
        <w:t>Where</w:t>
      </w:r>
      <w:proofErr w:type="gramEnd"/>
      <w:r>
        <w:t>,</w:t>
      </w:r>
    </w:p>
    <w:tbl>
      <w:tblPr>
        <w:tblStyle w:val="TableGrid"/>
        <w:tblW w:w="0" w:type="auto"/>
        <w:tblLook w:val="04A0" w:firstRow="1" w:lastRow="0" w:firstColumn="1" w:lastColumn="0" w:noHBand="0" w:noVBand="1"/>
      </w:tblPr>
      <w:tblGrid>
        <w:gridCol w:w="8774"/>
        <w:gridCol w:w="242"/>
      </w:tblGrid>
      <w:tr w:rsidR="001A7FA2" w:rsidRPr="00C0265B" w14:paraId="13A04650" w14:textId="77777777" w:rsidTr="003F070A">
        <w:tc>
          <w:tcPr>
            <w:tcW w:w="8774" w:type="dxa"/>
          </w:tcPr>
          <w:p w14:paraId="75B008E7" w14:textId="77777777" w:rsidR="001A7FA2" w:rsidRPr="000B1D8E" w:rsidRDefault="001A7FA2"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1A7FA2"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77777777" w:rsidR="001A7FA2" w:rsidRPr="00C0265B" w:rsidRDefault="001A7FA2" w:rsidP="003F070A">
            <w:pPr>
              <w:jc w:val="right"/>
              <w:rPr>
                <w:rFonts w:eastAsiaTheme="minorEastAsia"/>
                <w:szCs w:val="24"/>
              </w:rPr>
            </w:pPr>
          </w:p>
        </w:tc>
      </w:tr>
    </w:tbl>
    <w:p w14:paraId="2D5B72F5" w14:textId="079124AC" w:rsidR="00D11080" w:rsidRDefault="00D11080" w:rsidP="00833BFD">
      <w:r>
        <w:t xml:space="preserve">A variant of </w:t>
      </w:r>
      <w:proofErr w:type="spellStart"/>
      <w:r>
        <w:t>ESim</w:t>
      </w:r>
      <w:proofErr w:type="spellEnd"/>
      <w:r>
        <w:t xml:space="preserve"> </w:t>
      </w:r>
      <w:r w:rsidR="000B1D8E">
        <w:t xml:space="preserve">called ESim2 </w:t>
      </w:r>
      <w:r>
        <w:t xml:space="preserve">is derived by modifying the denominator in the formula of </w:t>
      </w:r>
      <w:proofErr w:type="spellStart"/>
      <w:r>
        <w:t>ESim</w:t>
      </w:r>
      <w:proofErr w:type="spellEnd"/>
      <w:r>
        <w:t xml:space="preserve"> as follows:</w:t>
      </w:r>
    </w:p>
    <w:tbl>
      <w:tblPr>
        <w:tblStyle w:val="TableGrid"/>
        <w:tblW w:w="0" w:type="auto"/>
        <w:tblLook w:val="04A0" w:firstRow="1" w:lastRow="0" w:firstColumn="1" w:lastColumn="0" w:noHBand="0" w:noVBand="1"/>
      </w:tblPr>
      <w:tblGrid>
        <w:gridCol w:w="8774"/>
        <w:gridCol w:w="242"/>
      </w:tblGrid>
      <w:tr w:rsidR="008E5636" w:rsidRPr="00C0265B" w14:paraId="29C05B82" w14:textId="77777777" w:rsidTr="00D164FA">
        <w:tc>
          <w:tcPr>
            <w:tcW w:w="8774" w:type="dxa"/>
          </w:tcPr>
          <w:p w14:paraId="21747602" w14:textId="7C7B0677" w:rsidR="008E5636" w:rsidRPr="008E5636" w:rsidRDefault="008E5636"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77777777" w:rsidR="008E5636" w:rsidRPr="00C0265B" w:rsidRDefault="008E5636" w:rsidP="00D164FA">
            <w:pPr>
              <w:jc w:val="right"/>
              <w:rPr>
                <w:rFonts w:eastAsiaTheme="minorEastAsia"/>
                <w:szCs w:val="24"/>
              </w:rPr>
            </w:pPr>
          </w:p>
        </w:tc>
      </w:tr>
    </w:tbl>
    <w:p w14:paraId="663885DE" w14:textId="2E064360" w:rsidR="008E5636" w:rsidRDefault="008E5636" w:rsidP="00833BFD">
      <w:r>
        <w:t xml:space="preserve">The nominator in the formula of ESim2 is modified </w:t>
      </w:r>
      <w:proofErr w:type="gramStart"/>
      <w:r>
        <w:t>so as to</w:t>
      </w:r>
      <w:proofErr w:type="gramEnd"/>
      <w:r>
        <w:t xml:space="preserve"> produce ESim3 as follows:</w:t>
      </w:r>
    </w:p>
    <w:tbl>
      <w:tblPr>
        <w:tblStyle w:val="TableGrid"/>
        <w:tblW w:w="0" w:type="auto"/>
        <w:tblLook w:val="04A0" w:firstRow="1" w:lastRow="0" w:firstColumn="1" w:lastColumn="0" w:noHBand="0" w:noVBand="1"/>
      </w:tblPr>
      <w:tblGrid>
        <w:gridCol w:w="8774"/>
        <w:gridCol w:w="242"/>
      </w:tblGrid>
      <w:tr w:rsidR="008E5636" w:rsidRPr="00C0265B" w14:paraId="317C6EB0" w14:textId="77777777" w:rsidTr="00D164FA">
        <w:tc>
          <w:tcPr>
            <w:tcW w:w="8774" w:type="dxa"/>
          </w:tcPr>
          <w:p w14:paraId="53C21011" w14:textId="6EA9EC12" w:rsidR="008E5636" w:rsidRPr="008E5636" w:rsidRDefault="008E5636" w:rsidP="00D164FA">
            <m:oMathPara>
              <m:oMath>
                <m:r>
                  <m:rPr>
                    <m:sty m:val="p"/>
                  </m:rPr>
                  <w:rPr>
                    <w:rFonts w:ascii="Cambria Math" w:hAnsi="Cambria Math"/>
                  </w:rPr>
                  <w:lastRenderedPageBreak/>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77777777" w:rsidR="008E5636" w:rsidRPr="00C0265B" w:rsidRDefault="008E5636" w:rsidP="00D164FA">
            <w:pPr>
              <w:jc w:val="right"/>
              <w:rPr>
                <w:rFonts w:eastAsiaTheme="minorEastAsia"/>
                <w:szCs w:val="24"/>
              </w:rPr>
            </w:pPr>
          </w:p>
        </w:tc>
      </w:tr>
    </w:tbl>
    <w:p w14:paraId="2D584AE6" w14:textId="4114A86F" w:rsidR="008B6529" w:rsidRDefault="00D40FA6" w:rsidP="00833BFD">
      <w:proofErr w:type="spellStart"/>
      <w:r>
        <w:t>ESim</w:t>
      </w:r>
      <w:proofErr w:type="spellEnd"/>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Look w:val="04A0" w:firstRow="1" w:lastRow="0" w:firstColumn="1" w:lastColumn="0" w:noHBand="0" w:noVBand="1"/>
      </w:tblPr>
      <w:tblGrid>
        <w:gridCol w:w="8774"/>
        <w:gridCol w:w="242"/>
      </w:tblGrid>
      <w:tr w:rsidR="00833BFD" w:rsidRPr="00C0265B" w14:paraId="5493705A" w14:textId="77777777" w:rsidTr="00D164FA">
        <w:tc>
          <w:tcPr>
            <w:tcW w:w="8774" w:type="dxa"/>
          </w:tcPr>
          <w:p w14:paraId="53270228" w14:textId="59179CA6"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77777777" w:rsidR="00833BFD" w:rsidRPr="00C0265B" w:rsidRDefault="00833BFD" w:rsidP="00D164FA">
            <w:pPr>
              <w:jc w:val="right"/>
              <w:rPr>
                <w:rFonts w:eastAsiaTheme="minorEastAsia"/>
                <w:szCs w:val="24"/>
              </w:rPr>
            </w:pPr>
          </w:p>
        </w:tc>
      </w:tr>
    </w:tbl>
    <w:p w14:paraId="732D28D2" w14:textId="0B57EAE2" w:rsidR="002214E2" w:rsidRDefault="00833BFD" w:rsidP="00695680">
      <w:proofErr w:type="gramStart"/>
      <w:r>
        <w:t>Where</w:t>
      </w:r>
      <w:proofErr w:type="gramEnd"/>
      <w:r>
        <w:t>,</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436D72DC" w:rsidR="00695680" w:rsidRPr="00FB0527" w:rsidRDefault="00695680" w:rsidP="00695680">
      <w:pPr>
        <w:pStyle w:val="Heading1"/>
      </w:pPr>
      <w:r>
        <w:t>24</w:t>
      </w:r>
      <w:r w:rsidRPr="00FB0527">
        <w:t xml:space="preserve">. </w:t>
      </w:r>
      <w:r>
        <w:t>RES</w:t>
      </w:r>
    </w:p>
    <w:p w14:paraId="28D996B2" w14:textId="71C63F27" w:rsidR="007E03E6" w:rsidRDefault="007E03E6" w:rsidP="00236CE4"/>
    <w:p w14:paraId="5D71C0C3" w14:textId="77777777" w:rsidR="00F7456A" w:rsidRDefault="00F7456A" w:rsidP="00236CE4"/>
    <w:p w14:paraId="3A9EBE77" w14:textId="112A5954" w:rsidR="004A268C" w:rsidRPr="00FB0527" w:rsidRDefault="004A268C" w:rsidP="004A268C">
      <w:pPr>
        <w:pStyle w:val="Heading1"/>
      </w:pPr>
      <w:r>
        <w:t>2</w:t>
      </w:r>
      <w:r w:rsidR="00695680">
        <w:t>5</w:t>
      </w:r>
      <w:r w:rsidRPr="00FB0527">
        <w:t xml:space="preserve">. </w:t>
      </w:r>
      <w:r>
        <w:t>NNSM</w:t>
      </w:r>
    </w:p>
    <w:p w14:paraId="1E2C5534" w14:textId="1266C23E" w:rsidR="00695680" w:rsidRDefault="00695680" w:rsidP="00236CE4"/>
    <w:p w14:paraId="0B368A5C" w14:textId="77777777" w:rsidR="004B4A50" w:rsidRDefault="004B4A50" w:rsidP="00236CE4"/>
    <w:p w14:paraId="6C68318C" w14:textId="02B51967" w:rsidR="00695680" w:rsidRPr="00FB0527" w:rsidRDefault="00695680" w:rsidP="00695680">
      <w:pPr>
        <w:pStyle w:val="Heading1"/>
      </w:pPr>
      <w:r>
        <w:t>26</w:t>
      </w:r>
      <w:r w:rsidRPr="00FB0527">
        <w:t xml:space="preserve">. </w:t>
      </w:r>
      <w:r>
        <w:t>SM</w:t>
      </w:r>
    </w:p>
    <w:p w14:paraId="0B7D9921" w14:textId="4666A9FD" w:rsidR="00695680" w:rsidRDefault="00695680" w:rsidP="00236CE4"/>
    <w:p w14:paraId="6B941C15" w14:textId="77777777" w:rsidR="004B4A50" w:rsidRDefault="004B4A50" w:rsidP="00236CE4"/>
    <w:p w14:paraId="601522AB" w14:textId="7E4688F1" w:rsidR="00FB0527" w:rsidRPr="00FB0527" w:rsidRDefault="00FB0527" w:rsidP="00E55D2B">
      <w:pPr>
        <w:pStyle w:val="Heading1"/>
      </w:pPr>
      <w:r w:rsidRPr="00FB0527">
        <w:t>References</w:t>
      </w:r>
    </w:p>
    <w:p w14:paraId="17848E15" w14:textId="77777777" w:rsidR="002207B5" w:rsidRDefault="001F407D" w:rsidP="002207B5">
      <w:pPr>
        <w:pStyle w:val="Bibliography"/>
        <w:ind w:left="720" w:hanging="720"/>
        <w:rPr>
          <w:noProof/>
          <w:szCs w:val="24"/>
        </w:rPr>
      </w:pPr>
      <w:r>
        <w:fldChar w:fldCharType="begin"/>
      </w:r>
      <w:r>
        <w:instrText xml:space="preserve"> BIBLIOGRAPHY  \l 1033 </w:instrText>
      </w:r>
      <w:r>
        <w:fldChar w:fldCharType="separate"/>
      </w:r>
      <w:r w:rsidR="002207B5">
        <w:rPr>
          <w:noProof/>
        </w:rPr>
        <w:t xml:space="preserve">Ayub, M., Ghazanfar, A. M., Khan, T., &amp; Saleem, A. (2020, May 12). An Efective Model for Jaccard Coefcient to Increase the Performance of Collaborative Filtering. (B. M. Ali, Ed.) </w:t>
      </w:r>
      <w:r w:rsidR="002207B5">
        <w:rPr>
          <w:i/>
          <w:iCs/>
          <w:noProof/>
        </w:rPr>
        <w:t>Arabian Journal for Science and Engineering, 45</w:t>
      </w:r>
      <w:r w:rsidR="002207B5">
        <w:rPr>
          <w:noProof/>
        </w:rPr>
        <w:t>(12), 9997 - 10017. doi:10.1007/s13369-020-04568-6</w:t>
      </w:r>
    </w:p>
    <w:p w14:paraId="534B7C37" w14:textId="77777777" w:rsidR="002207B5" w:rsidRDefault="002207B5" w:rsidP="002207B5">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11E939DA" w14:textId="77777777" w:rsidR="002207B5" w:rsidRDefault="002207B5" w:rsidP="002207B5">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B5D1AF1" w14:textId="77777777" w:rsidR="002207B5" w:rsidRDefault="002207B5" w:rsidP="002207B5">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7DDF529C" w14:textId="77777777" w:rsidR="002207B5" w:rsidRDefault="002207B5" w:rsidP="002207B5">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7B711A50" w14:textId="77777777" w:rsidR="002207B5" w:rsidRDefault="002207B5" w:rsidP="002207B5">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3D0B61C7" w14:textId="77777777" w:rsidR="002207B5" w:rsidRDefault="002207B5" w:rsidP="002207B5">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78B2ECBA" w14:textId="77777777" w:rsidR="002207B5" w:rsidRDefault="002207B5" w:rsidP="002207B5">
      <w:pPr>
        <w:pStyle w:val="Bibliography"/>
        <w:ind w:left="720" w:hanging="720"/>
        <w:rPr>
          <w:noProof/>
        </w:rPr>
      </w:pPr>
      <w:r>
        <w:rPr>
          <w:noProof/>
        </w:rPr>
        <w:lastRenderedPageBreak/>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033088D2" w14:textId="77777777" w:rsidR="002207B5" w:rsidRDefault="002207B5" w:rsidP="002207B5">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7FD8D78" w14:textId="77777777" w:rsidR="002207B5" w:rsidRDefault="002207B5" w:rsidP="002207B5">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552922BD" w14:textId="77777777" w:rsidR="002207B5" w:rsidRDefault="002207B5" w:rsidP="002207B5">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6269E07" w14:textId="77777777" w:rsidR="002207B5" w:rsidRDefault="002207B5" w:rsidP="002207B5">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32894591" w14:textId="77777777" w:rsidR="002207B5" w:rsidRDefault="002207B5" w:rsidP="002207B5">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573E890A" w14:textId="77777777" w:rsidR="002207B5" w:rsidRDefault="002207B5" w:rsidP="002207B5">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151C3BC6" w14:textId="77777777" w:rsidR="002207B5" w:rsidRDefault="002207B5" w:rsidP="002207B5">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772DC70F" w14:textId="77777777" w:rsidR="002207B5" w:rsidRDefault="002207B5" w:rsidP="002207B5">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323A8A21" w14:textId="77777777" w:rsidR="002207B5" w:rsidRDefault="002207B5" w:rsidP="002207B5">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0AD1DB40" w14:textId="77777777" w:rsidR="002207B5" w:rsidRDefault="002207B5" w:rsidP="002207B5">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2FD4CFC3" w14:textId="77777777" w:rsidR="002207B5" w:rsidRDefault="002207B5" w:rsidP="002207B5">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12333772" w14:textId="77777777" w:rsidR="002207B5" w:rsidRDefault="002207B5" w:rsidP="002207B5">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1E2CE74" w14:textId="77777777" w:rsidR="002207B5" w:rsidRDefault="002207B5" w:rsidP="002207B5">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05172145" w14:textId="77777777" w:rsidR="002207B5" w:rsidRDefault="002207B5" w:rsidP="002207B5">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63640179" w14:textId="77777777" w:rsidR="002207B5" w:rsidRDefault="002207B5" w:rsidP="002207B5">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w:t>
      </w:r>
      <w:r>
        <w:rPr>
          <w:noProof/>
        </w:rPr>
        <w:lastRenderedPageBreak/>
        <w:t>Sul. Retrieved from http://www.lume.ufrgs.br/bitstream/handle/10183/5887/000432990.pdf;sequence=1</w:t>
      </w:r>
    </w:p>
    <w:p w14:paraId="0E995BA6" w14:textId="77777777" w:rsidR="002207B5" w:rsidRDefault="002207B5" w:rsidP="002207B5">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2207B5">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30D83"/>
    <w:rsid w:val="00041CDC"/>
    <w:rsid w:val="00043A92"/>
    <w:rsid w:val="00053992"/>
    <w:rsid w:val="00062E4C"/>
    <w:rsid w:val="00076BFC"/>
    <w:rsid w:val="000A5FA4"/>
    <w:rsid w:val="000B0CFF"/>
    <w:rsid w:val="000B1D8E"/>
    <w:rsid w:val="000D2A05"/>
    <w:rsid w:val="000D5A98"/>
    <w:rsid w:val="000D64B4"/>
    <w:rsid w:val="001169C4"/>
    <w:rsid w:val="001478A7"/>
    <w:rsid w:val="00171BDA"/>
    <w:rsid w:val="00173DC3"/>
    <w:rsid w:val="001A7FA2"/>
    <w:rsid w:val="001D0391"/>
    <w:rsid w:val="001D73E5"/>
    <w:rsid w:val="001E2BE5"/>
    <w:rsid w:val="001F30A8"/>
    <w:rsid w:val="001F407D"/>
    <w:rsid w:val="001F6432"/>
    <w:rsid w:val="00211EA6"/>
    <w:rsid w:val="002207B5"/>
    <w:rsid w:val="002214E2"/>
    <w:rsid w:val="00225772"/>
    <w:rsid w:val="00236CE4"/>
    <w:rsid w:val="00243002"/>
    <w:rsid w:val="002755AC"/>
    <w:rsid w:val="002759BB"/>
    <w:rsid w:val="00282D8E"/>
    <w:rsid w:val="002A4375"/>
    <w:rsid w:val="002B0353"/>
    <w:rsid w:val="002B0508"/>
    <w:rsid w:val="002D1B40"/>
    <w:rsid w:val="0030246F"/>
    <w:rsid w:val="00322226"/>
    <w:rsid w:val="003723BE"/>
    <w:rsid w:val="003A1C5B"/>
    <w:rsid w:val="003B1A3B"/>
    <w:rsid w:val="003C69C6"/>
    <w:rsid w:val="003D4FE2"/>
    <w:rsid w:val="00410BC8"/>
    <w:rsid w:val="00427B13"/>
    <w:rsid w:val="00441BEB"/>
    <w:rsid w:val="00444C86"/>
    <w:rsid w:val="004534F5"/>
    <w:rsid w:val="00456370"/>
    <w:rsid w:val="004648FB"/>
    <w:rsid w:val="00467954"/>
    <w:rsid w:val="004977B0"/>
    <w:rsid w:val="004A24D2"/>
    <w:rsid w:val="004A268C"/>
    <w:rsid w:val="004A3385"/>
    <w:rsid w:val="004A5A07"/>
    <w:rsid w:val="004B4A50"/>
    <w:rsid w:val="004E3934"/>
    <w:rsid w:val="004F61E9"/>
    <w:rsid w:val="005047E0"/>
    <w:rsid w:val="00510D90"/>
    <w:rsid w:val="00514095"/>
    <w:rsid w:val="00550658"/>
    <w:rsid w:val="005926DF"/>
    <w:rsid w:val="0059575C"/>
    <w:rsid w:val="00595BD1"/>
    <w:rsid w:val="005A3165"/>
    <w:rsid w:val="005A4205"/>
    <w:rsid w:val="005A5B73"/>
    <w:rsid w:val="005C077C"/>
    <w:rsid w:val="005C28B4"/>
    <w:rsid w:val="005C6DD3"/>
    <w:rsid w:val="005D30BD"/>
    <w:rsid w:val="005F0A7C"/>
    <w:rsid w:val="005F1CCE"/>
    <w:rsid w:val="005F51D4"/>
    <w:rsid w:val="00615A03"/>
    <w:rsid w:val="00627307"/>
    <w:rsid w:val="00633A10"/>
    <w:rsid w:val="00653685"/>
    <w:rsid w:val="00695680"/>
    <w:rsid w:val="006B5EC4"/>
    <w:rsid w:val="006F2C79"/>
    <w:rsid w:val="006F5A35"/>
    <w:rsid w:val="00723AA2"/>
    <w:rsid w:val="00726B72"/>
    <w:rsid w:val="00735BA5"/>
    <w:rsid w:val="007545E2"/>
    <w:rsid w:val="0076250A"/>
    <w:rsid w:val="00784091"/>
    <w:rsid w:val="007A30F4"/>
    <w:rsid w:val="007D19C9"/>
    <w:rsid w:val="007D4BC1"/>
    <w:rsid w:val="007E03E6"/>
    <w:rsid w:val="007E7DED"/>
    <w:rsid w:val="007F299E"/>
    <w:rsid w:val="007F7BEF"/>
    <w:rsid w:val="0080117C"/>
    <w:rsid w:val="00810BA0"/>
    <w:rsid w:val="00820DD3"/>
    <w:rsid w:val="00833BFD"/>
    <w:rsid w:val="0083644E"/>
    <w:rsid w:val="00863474"/>
    <w:rsid w:val="00872EC6"/>
    <w:rsid w:val="008747C0"/>
    <w:rsid w:val="0088384F"/>
    <w:rsid w:val="008A3128"/>
    <w:rsid w:val="008B6529"/>
    <w:rsid w:val="008D3B27"/>
    <w:rsid w:val="008E4277"/>
    <w:rsid w:val="008E5636"/>
    <w:rsid w:val="00911043"/>
    <w:rsid w:val="00931AB8"/>
    <w:rsid w:val="009322B2"/>
    <w:rsid w:val="00932B25"/>
    <w:rsid w:val="00955FAC"/>
    <w:rsid w:val="00962D0D"/>
    <w:rsid w:val="009933EB"/>
    <w:rsid w:val="009D4089"/>
    <w:rsid w:val="00A02E34"/>
    <w:rsid w:val="00A248F3"/>
    <w:rsid w:val="00A34722"/>
    <w:rsid w:val="00A34751"/>
    <w:rsid w:val="00A401E7"/>
    <w:rsid w:val="00A4399A"/>
    <w:rsid w:val="00A5300F"/>
    <w:rsid w:val="00A579A6"/>
    <w:rsid w:val="00A83DB1"/>
    <w:rsid w:val="00A94BB8"/>
    <w:rsid w:val="00A9538E"/>
    <w:rsid w:val="00AD064B"/>
    <w:rsid w:val="00AE776B"/>
    <w:rsid w:val="00AF64D0"/>
    <w:rsid w:val="00B02E97"/>
    <w:rsid w:val="00B37976"/>
    <w:rsid w:val="00B50266"/>
    <w:rsid w:val="00B678D1"/>
    <w:rsid w:val="00B742C2"/>
    <w:rsid w:val="00B93F0C"/>
    <w:rsid w:val="00BA44CB"/>
    <w:rsid w:val="00BD0D0D"/>
    <w:rsid w:val="00C04CDE"/>
    <w:rsid w:val="00C11925"/>
    <w:rsid w:val="00C21749"/>
    <w:rsid w:val="00C3375B"/>
    <w:rsid w:val="00C56F6B"/>
    <w:rsid w:val="00C7217F"/>
    <w:rsid w:val="00C82EC0"/>
    <w:rsid w:val="00C955E3"/>
    <w:rsid w:val="00CC3E77"/>
    <w:rsid w:val="00CC4168"/>
    <w:rsid w:val="00D01438"/>
    <w:rsid w:val="00D0208F"/>
    <w:rsid w:val="00D10089"/>
    <w:rsid w:val="00D11080"/>
    <w:rsid w:val="00D17DC2"/>
    <w:rsid w:val="00D25BF1"/>
    <w:rsid w:val="00D36193"/>
    <w:rsid w:val="00D40638"/>
    <w:rsid w:val="00D40FA6"/>
    <w:rsid w:val="00D53456"/>
    <w:rsid w:val="00D56F8C"/>
    <w:rsid w:val="00D64F84"/>
    <w:rsid w:val="00D71038"/>
    <w:rsid w:val="00D742FC"/>
    <w:rsid w:val="00D92113"/>
    <w:rsid w:val="00D97EA8"/>
    <w:rsid w:val="00DB5304"/>
    <w:rsid w:val="00DD720B"/>
    <w:rsid w:val="00E00454"/>
    <w:rsid w:val="00E0416E"/>
    <w:rsid w:val="00E07224"/>
    <w:rsid w:val="00E072A5"/>
    <w:rsid w:val="00E1645A"/>
    <w:rsid w:val="00E32BD6"/>
    <w:rsid w:val="00E33C8F"/>
    <w:rsid w:val="00E52411"/>
    <w:rsid w:val="00E55D2B"/>
    <w:rsid w:val="00E632ED"/>
    <w:rsid w:val="00E75196"/>
    <w:rsid w:val="00E77A50"/>
    <w:rsid w:val="00E81597"/>
    <w:rsid w:val="00E81BAF"/>
    <w:rsid w:val="00E85236"/>
    <w:rsid w:val="00E92EEE"/>
    <w:rsid w:val="00E9596C"/>
    <w:rsid w:val="00E9780A"/>
    <w:rsid w:val="00E97E1A"/>
    <w:rsid w:val="00EB2226"/>
    <w:rsid w:val="00EB2A3E"/>
    <w:rsid w:val="00EC6845"/>
    <w:rsid w:val="00EE571B"/>
    <w:rsid w:val="00EE579B"/>
    <w:rsid w:val="00EE6F24"/>
    <w:rsid w:val="00EF3B14"/>
    <w:rsid w:val="00EF5644"/>
    <w:rsid w:val="00F1027C"/>
    <w:rsid w:val="00F15880"/>
    <w:rsid w:val="00F3174D"/>
    <w:rsid w:val="00F36B6E"/>
    <w:rsid w:val="00F54976"/>
    <w:rsid w:val="00F56277"/>
    <w:rsid w:val="00F7456A"/>
    <w:rsid w:val="00F76F45"/>
    <w:rsid w:val="00F84EED"/>
    <w:rsid w:val="00F946A3"/>
    <w:rsid w:val="00FB0527"/>
    <w:rsid w:val="00FB0DFF"/>
    <w:rsid w:val="00FC18FF"/>
    <w:rsid w:val="00FD459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21</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22</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23</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24</b:RefOrder>
  </b:Source>
</b:Sources>
</file>

<file path=customXml/itemProps1.xml><?xml version="1.0" encoding="utf-8"?>
<ds:datastoreItem xmlns:ds="http://schemas.openxmlformats.org/officeDocument/2006/customXml" ds:itemID="{DBA0BF47-3CA3-4122-9A91-314BD365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21</Pages>
  <Words>8627</Words>
  <Characters>49179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154</cp:revision>
  <dcterms:created xsi:type="dcterms:W3CDTF">2021-07-06T12:47:00Z</dcterms:created>
  <dcterms:modified xsi:type="dcterms:W3CDTF">2021-11-26T04:37:00Z</dcterms:modified>
</cp:coreProperties>
</file>