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04323D35" w:rsidR="00DD720B" w:rsidRPr="00C0265B" w:rsidRDefault="00DD720B" w:rsidP="00DD720B">
      <w:pPr>
        <w:rPr>
          <w:szCs w:val="20"/>
        </w:rPr>
      </w:pPr>
      <w:r>
        <w:t>Before descripting popular similarity measure</w:t>
      </w:r>
      <w:r>
        <w:t>s</w:t>
      </w:r>
      <w:r>
        <w:t>,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Pr="002C48CD">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604C52EC" w:rsidR="00DD720B" w:rsidRDefault="00DD720B" w:rsidP="00DD720B">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Notation |x| indicates absolute value of number, length of vector, length of geometric segment, or cardinality of set, which depends on context.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xml:space="preserve">) denotes cosine measure. 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w:t>
      </w:r>
      <w:r w:rsidRPr="00C0265B">
        <w:lastRenderedPageBreak/>
        <w:t xml:space="preserve">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DD720B" w14:paraId="58D1A882" w14:textId="77777777" w:rsidTr="00852253">
        <w:tc>
          <w:tcPr>
            <w:tcW w:w="8774" w:type="dxa"/>
          </w:tcPr>
          <w:p w14:paraId="2ED592FB" w14:textId="77777777" w:rsidR="00DD720B" w:rsidRPr="008D6EC7" w:rsidRDefault="00DD720B"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7777777" w:rsidR="00DD720B" w:rsidRDefault="00DD720B" w:rsidP="00852253">
            <w:pPr>
              <w:jc w:val="right"/>
            </w:pPr>
          </w:p>
        </w:tc>
      </w:tr>
    </w:tbl>
    <w:p w14:paraId="598ED254" w14:textId="77777777"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Equation 2 above is called prediction formula or estimation formula.</w:t>
      </w:r>
      <w:bookmarkEnd w:id="0"/>
    </w:p>
    <w:p w14:paraId="5727B748" w14:textId="77777777" w:rsidR="004977B0" w:rsidRPr="00C0265B" w:rsidRDefault="004977B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4977B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4977B0"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4606E77"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Pr="002C48CD">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8527F12"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863474">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6CBD3725" w14:textId="77777777" w:rsidR="00863474" w:rsidRDefault="00863474"/>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EF5644"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777777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Pr="00C0265B">
            <w:rPr>
              <w:noProof/>
            </w:rPr>
            <w:t>[4, p. 158]</w:t>
          </w:r>
          <w:r w:rsidRPr="00C0265B">
            <w:fldChar w:fldCharType="end"/>
          </w:r>
        </w:sdtContent>
      </w:sdt>
      <w:r w:rsidRPr="00C0265B">
        <w:t xml:space="preserve"> is defined </w:t>
      </w:r>
      <w:r>
        <w:t>as follows:</w:t>
      </w:r>
    </w:p>
    <w:p w14:paraId="547B42DE" w14:textId="77777777" w:rsidR="00EF5644" w:rsidRDefault="00EF5644"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EF5644"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EF5644"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EF5644"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t>4</w:t>
      </w:r>
      <w:r w:rsidR="00FB0527" w:rsidRPr="00FB0527">
        <w:t>. Pearson</w:t>
      </w:r>
    </w:p>
    <w:p w14:paraId="2D90EC19" w14:textId="77777777"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E81BAF"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1ED362C6" w14:textId="77777777" w:rsidR="00E81BAF" w:rsidRPr="00C0265B" w:rsidRDefault="00E81BA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2E810C10" w14:textId="77777777" w:rsidR="00E81BAF" w:rsidRPr="00C0265B" w:rsidRDefault="00E81BA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77777777"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E81BAF"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77777777"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E81BAF"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77777777" w:rsidR="00E81BAF" w:rsidRDefault="00E81BAF" w:rsidP="00E81BAF">
      <w:r w:rsidRPr="00C0265B">
        <w:lastRenderedPageBreak/>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E81BAF"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77777777" w:rsidR="00E81BAF" w:rsidRPr="00C0265B"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p w14:paraId="0377F7FE" w14:textId="77777777" w:rsidR="00E81BAF" w:rsidRDefault="00E81BAF" w:rsidP="00E81BAF">
      <w:pPr>
        <w:ind w:firstLine="360"/>
      </w:pPr>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E81BAF"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77777777" w:rsidR="002A4375" w:rsidRDefault="002A4375" w:rsidP="002A4375">
      <w:pPr>
        <w:ind w:firstLine="360"/>
      </w:pPr>
      <w:r>
        <w:t xml:space="preserve">Choi and Suh </w:t>
      </w:r>
      <w:sdt>
        <w:sdtPr>
          <w:id w:val="841205191"/>
          <w:citation/>
        </w:sdtPr>
        <w:sdtContent>
          <w:r>
            <w:fldChar w:fldCharType="begin"/>
          </w:r>
          <w:r>
            <w:instrText xml:space="preserve"> CITATION Choi2013PC \l 1033 </w:instrText>
          </w:r>
          <w:r>
            <w:fldChar w:fldCharType="separate"/>
          </w:r>
          <w:r>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2A4375"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214748B" w14:textId="77777777" w:rsidR="002A4375" w:rsidRPr="00C0265B" w:rsidRDefault="002A4375"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55C7C080" w14:textId="77777777" w:rsidR="002A4375" w:rsidRPr="00C0265B" w:rsidRDefault="002A4375"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77777777"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77777777" w:rsidR="00E92EEE" w:rsidRDefault="00E92EEE" w:rsidP="00E92EEE">
      <w:r w:rsidRPr="00C0265B">
        <w:t xml:space="preserve">MSD measure combines with Jaccard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77777777"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Pr="002C48CD">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653685"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77777777" w:rsidR="00E07224" w:rsidRDefault="00E07224" w:rsidP="00E07224">
      <w:r>
        <w:t xml:space="preserve">Ahn </w:t>
      </w:r>
      <w:sdt>
        <w:sdtPr>
          <w:id w:val="679093956"/>
          <w:citation/>
        </w:sdtPr>
        <w:sdtContent>
          <w:r>
            <w:fldChar w:fldCharType="begin"/>
          </w:r>
          <w:r>
            <w:instrText xml:space="preserve"> CITATION Hyu2007PIP \l 1033 </w:instrText>
          </w:r>
          <w:r>
            <w:fldChar w:fldCharType="separate"/>
          </w:r>
          <w:r>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77777777"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77777777"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p w14:paraId="2AE8CA2E" w14:textId="77777777" w:rsidR="00E07224" w:rsidRDefault="00E07224" w:rsidP="00E07224">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3FA1092C" w14:textId="77777777"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Pr>
              <w:noProof/>
            </w:rPr>
            <w:t>(Hyung, 2008, p. 43)</w:t>
          </w:r>
          <w:r>
            <w:fldChar w:fldCharType="end"/>
          </w:r>
        </w:sdtContent>
      </w:sdt>
      <w:r>
        <w:t xml:space="preserve"> is proportional to difference between them and rating median. If two ratings are disagreed, their impact is inverse of such difference.</w:t>
      </w:r>
    </w:p>
    <w:p w14:paraId="1FE9BB3F" w14:textId="77777777" w:rsidR="00E07224" w:rsidRDefault="00E07224" w:rsidP="00E07224">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4C126B1" w14:textId="77777777"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Pr>
              <w:noProof/>
            </w:rPr>
            <w:t>(Hyung, 2008, p. 43)</w:t>
          </w:r>
          <w:r>
            <w:fldChar w:fldCharType="end"/>
          </w:r>
        </w:sdtContent>
      </w:sdt>
      <w:r>
        <w:t xml:space="preserve"> indicates difference between ratings given by active users and the average rating.</w:t>
      </w:r>
    </w:p>
    <w:p w14:paraId="60F64717" w14:textId="77777777" w:rsidR="00E07224" w:rsidRDefault="00E07224" w:rsidP="00E07224">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14:paraId="4581C41B" w14:textId="631221AF"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Pr>
              <w:noProof/>
            </w:rPr>
            <w:t>(Hyung, 2008, p. 47)</w:t>
          </w:r>
          <w:r>
            <w:fldChar w:fldCharType="end"/>
          </w:r>
        </w:sdtContent>
      </w:sdt>
      <w:r>
        <w:t>.</w:t>
      </w:r>
    </w:p>
    <w:p w14:paraId="0F2B637D" w14:textId="7637B879" w:rsidR="00653685" w:rsidRDefault="00653685" w:rsidP="00653685"/>
    <w:p w14:paraId="4E178A78" w14:textId="1543B89A" w:rsidR="00053992" w:rsidRPr="00FB0527" w:rsidRDefault="00053992" w:rsidP="00053992">
      <w:pPr>
        <w:pStyle w:val="Heading1"/>
      </w:pPr>
      <w:r>
        <w:t>8</w:t>
      </w:r>
      <w:r w:rsidRPr="00FB0527">
        <w:t xml:space="preserve">. </w:t>
      </w:r>
      <w:r>
        <w:t>PSS</w:t>
      </w:r>
    </w:p>
    <w:p w14:paraId="048F477C" w14:textId="77777777"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77777777"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Pr="002C48CD">
            <w:rPr>
              <w:noProof/>
            </w:rPr>
            <w:t>(Liu, Hu, Mian, Tian, &amp; Zhu, 2013, p. 161)</w:t>
          </w:r>
          <w:r w:rsidRPr="00C0265B">
            <w:fldChar w:fldCharType="end"/>
          </w:r>
        </w:sdtContent>
      </w:sdt>
      <w:r w:rsidRPr="00C0265B">
        <w:t>.</w:t>
      </w:r>
    </w:p>
    <w:p w14:paraId="6C4C73AC" w14:textId="77777777" w:rsidR="00053992" w:rsidRPr="00C0265B" w:rsidRDefault="00053992"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77777777"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77777777" w:rsidR="00053992" w:rsidRPr="00C0265B" w:rsidRDefault="00053992"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77777777" w:rsidR="00053992" w:rsidRDefault="00053992" w:rsidP="00053992">
      <w:r w:rsidRPr="00C0265B">
        <w:t xml:space="preserve">Liu et al. </w:t>
      </w:r>
      <w:sdt>
        <w:sdtPr>
          <w:id w:val="856925218"/>
          <w:citation/>
        </w:sdtPr>
        <w:sdtContent>
          <w:r w:rsidRPr="00C0265B">
            <w:fldChar w:fldCharType="begin"/>
          </w:r>
          <w:r w:rsidRPr="00C0265B">
            <w:instrText xml:space="preserve">CITATION Liu2013SimCF \p 161 \l 1033 </w:instrText>
          </w:r>
          <w:r w:rsidRPr="00C0265B">
            <w:fldChar w:fldCharType="separate"/>
          </w:r>
          <w:r>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77777777"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77777777" w:rsidR="006F5A35" w:rsidRDefault="006F5A35" w:rsidP="006F5A35">
      <w:r w:rsidRPr="00C0265B">
        <w:t xml:space="preserve">Patra et al. </w:t>
      </w:r>
      <w:sdt>
        <w:sdtPr>
          <w:id w:val="2092969539"/>
          <w:citation/>
        </w:sdtPr>
        <w:sdtContent>
          <w:r w:rsidRPr="00C0265B">
            <w:fldChar w:fldCharType="begin"/>
          </w:r>
          <w:r w:rsidRPr="00C0265B">
            <w:instrText xml:space="preserve">CITATION Patra2015SimCF \p 143 \l 1033 </w:instrText>
          </w:r>
          <w:r w:rsidRPr="00C0265B">
            <w:fldChar w:fldCharType="separate"/>
          </w:r>
          <w:r>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77777777" w:rsidR="006F5A35" w:rsidRDefault="006F5A35" w:rsidP="006F5A35">
      <w:r w:rsidRPr="00C0265B">
        <w:t xml:space="preserve">According to Patra et al. </w:t>
      </w:r>
      <w:sdt>
        <w:sdtPr>
          <w:id w:val="-1047521727"/>
          <w:citation/>
        </w:sdt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w:lastRenderedPageBreak/>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77777777"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77777777" w:rsidR="00456370" w:rsidRDefault="00456370" w:rsidP="00456370">
      <w:r w:rsidRPr="002C48CD">
        <w:t>Suryakant and Mahara</w:t>
      </w:r>
      <w:r>
        <w:t xml:space="preserve"> </w:t>
      </w:r>
      <w:sdt>
        <w:sdtPr>
          <w:id w:val="227578043"/>
          <w:citation/>
        </w:sdtPr>
        <w:sdtContent>
          <w:r>
            <w:fldChar w:fldCharType="begin"/>
          </w:r>
          <w:r>
            <w:instrText xml:space="preserve">CITATION Suryakant2016CjacMD \l 1033 </w:instrText>
          </w:r>
          <w:r>
            <w:fldChar w:fldCharType="separate"/>
          </w:r>
          <w:r>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77777777"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77777777"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Pr="00E97C0B">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456370"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77777777"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77777777" w:rsidR="00053992" w:rsidRDefault="00053992" w:rsidP="00653685"/>
    <w:p w14:paraId="601522AB" w14:textId="7E4688F1" w:rsidR="00FB0527" w:rsidRPr="00FB0527" w:rsidRDefault="00FB0527" w:rsidP="00E55D2B">
      <w:pPr>
        <w:pStyle w:val="Heading1"/>
      </w:pPr>
      <w:r w:rsidRPr="00FB0527">
        <w:t>References</w:t>
      </w:r>
    </w:p>
    <w:p w14:paraId="42FEF7D4" w14:textId="77777777" w:rsidR="001F407D" w:rsidRDefault="001F407D" w:rsidP="001F407D">
      <w:pPr>
        <w:pStyle w:val="Bibliography"/>
        <w:ind w:left="720" w:hanging="720"/>
        <w:rPr>
          <w:noProof/>
          <w:szCs w:val="24"/>
        </w:rPr>
      </w:pPr>
      <w:r>
        <w:fldChar w:fldCharType="begin"/>
      </w:r>
      <w:r>
        <w:instrText xml:space="preserve"> BIBLIOGRAPHY  \l 1033 </w:instrText>
      </w:r>
      <w:r>
        <w:fldChar w:fldCharType="separate"/>
      </w: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A765EBA" w14:textId="77777777" w:rsidR="001F407D" w:rsidRDefault="001F407D" w:rsidP="001F407D">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lastRenderedPageBreak/>
        <w:t>Dental Anthropology: A Publication of the Dental Anthropology Association, 17</w:t>
      </w:r>
      <w:r>
        <w:rPr>
          <w:noProof/>
        </w:rPr>
        <w:t>(3), 83-93. doi:10.26575/daj.v17i3.152</w:t>
      </w:r>
    </w:p>
    <w:p w14:paraId="3A1CCFD3" w14:textId="77777777" w:rsidR="001F407D" w:rsidRDefault="001F407D" w:rsidP="001F407D">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7E5DABB6" w14:textId="77777777" w:rsidR="001F407D" w:rsidRDefault="001F407D" w:rsidP="001F407D">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6A91720E" w14:textId="77777777" w:rsidR="001F407D" w:rsidRDefault="001F407D" w:rsidP="001F407D">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68D1768C" w14:textId="77777777" w:rsidR="001F407D" w:rsidRDefault="001F407D" w:rsidP="001F407D">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46BDD58A" w14:textId="77777777" w:rsidR="001F407D" w:rsidRDefault="001F407D" w:rsidP="001F407D">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7BB5F28F" w14:textId="77777777" w:rsidR="001F407D" w:rsidRDefault="001F407D" w:rsidP="001F407D">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730072F1" w14:textId="0E275994" w:rsidR="00FB0527" w:rsidRDefault="001F407D" w:rsidP="001F407D">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53992"/>
    <w:rsid w:val="001169C4"/>
    <w:rsid w:val="001F30A8"/>
    <w:rsid w:val="001F407D"/>
    <w:rsid w:val="002A4375"/>
    <w:rsid w:val="002B0508"/>
    <w:rsid w:val="0030246F"/>
    <w:rsid w:val="003B1A3B"/>
    <w:rsid w:val="00410BC8"/>
    <w:rsid w:val="00444C86"/>
    <w:rsid w:val="004534F5"/>
    <w:rsid w:val="00456370"/>
    <w:rsid w:val="004977B0"/>
    <w:rsid w:val="004A24D2"/>
    <w:rsid w:val="004E3934"/>
    <w:rsid w:val="00653685"/>
    <w:rsid w:val="006F5A35"/>
    <w:rsid w:val="007D4BC1"/>
    <w:rsid w:val="0083644E"/>
    <w:rsid w:val="00863474"/>
    <w:rsid w:val="008A3128"/>
    <w:rsid w:val="009933EB"/>
    <w:rsid w:val="00B742C2"/>
    <w:rsid w:val="00C11925"/>
    <w:rsid w:val="00D56F8C"/>
    <w:rsid w:val="00DB5304"/>
    <w:rsid w:val="00DD720B"/>
    <w:rsid w:val="00E00454"/>
    <w:rsid w:val="00E07224"/>
    <w:rsid w:val="00E55D2B"/>
    <w:rsid w:val="00E75196"/>
    <w:rsid w:val="00E77A50"/>
    <w:rsid w:val="00E81BAF"/>
    <w:rsid w:val="00E92EEE"/>
    <w:rsid w:val="00EF5644"/>
    <w:rsid w:val="00F15880"/>
    <w:rsid w:val="00F3174D"/>
    <w:rsid w:val="00F76F45"/>
    <w:rsid w:val="00FB0527"/>
    <w:rsid w:val="00FE5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6</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4</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5</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8</b:RefOrder>
  </b:Source>
</b:Sources>
</file>

<file path=customXml/itemProps1.xml><?xml version="1.0" encoding="utf-8"?>
<ds:datastoreItem xmlns:ds="http://schemas.openxmlformats.org/officeDocument/2006/customXml" ds:itemID="{EC2C0268-12C5-441F-9437-A1F6C858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3771</Words>
  <Characters>21498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33</cp:revision>
  <dcterms:created xsi:type="dcterms:W3CDTF">2021-07-06T12:47:00Z</dcterms:created>
  <dcterms:modified xsi:type="dcterms:W3CDTF">2021-07-26T06:32:00Z</dcterms:modified>
</cp:coreProperties>
</file>