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5106073A" w:rsidR="007401A5" w:rsidRDefault="007401A5" w:rsidP="007401A5"/>
    <w:p w14:paraId="6F501D66" w14:textId="3D21DF8C"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optimization (PSO)</w:t>
      </w:r>
    </w:p>
    <w:p w14:paraId="00026D5E" w14:textId="1B978FAE"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w:t>
      </w:r>
      <w:proofErr w:type="gramStart"/>
      <w:r w:rsidR="00AA0531">
        <w:t>birds</w:t>
      </w:r>
      <w:proofErr w:type="gramEnd"/>
      <w:r w:rsidR="00AA0531">
        <w:t xml:space="preserve">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w:t>
      </w:r>
      <w:proofErr w:type="gramStart"/>
      <w:r w:rsidR="00210DB5">
        <w:t>birds</w:t>
      </w:r>
      <w:proofErr w:type="gramEnd"/>
      <w:r w:rsidR="00210DB5">
        <w:t xml:space="preserve">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B82DD8"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3591417" w:rsidR="00AA0531" w:rsidRPr="001C05EE" w:rsidRDefault="001C05EE" w:rsidP="00AA0531">
      <w:r>
        <w:t xml:space="preserve">For global maximization, it is simple to change a little bit our viewpoint.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B82DD8"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End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B82DD8"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2582241B" w14:textId="51A361F8" w:rsidR="0054211E" w:rsidRDefault="00B82DD8"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B82DD8"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8424EAD" w:rsidR="00AA0531" w:rsidRDefault="00AA0531" w:rsidP="005A10E3">
            <w:r>
              <w:t xml:space="preserve">While terminated condition is not met </w:t>
            </w:r>
            <w:r w:rsidR="00FF05DD">
              <w:t xml:space="preserve">at each current iteration </w:t>
            </w:r>
            <w:r>
              <w:t>do</w:t>
            </w:r>
          </w:p>
          <w:p w14:paraId="2B816F4C" w14:textId="2F948435" w:rsidR="00AA0531" w:rsidRPr="00201190" w:rsidRDefault="00AA0531" w:rsidP="005A10E3">
            <w:pPr>
              <w:ind w:left="360"/>
            </w:pPr>
            <w:r>
              <w:t xml:space="preserve">For each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B82DD8"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B82DD8"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End for</w:t>
            </w:r>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20631A37" w14:textId="7F4D4B1C" w:rsidR="008C429E" w:rsidRDefault="008C429E" w:rsidP="00AA0531">
      <w:r>
        <w:t xml:space="preserve">If concerning the current </w:t>
      </w:r>
      <w:proofErr w:type="spellStart"/>
      <w:r w:rsidRPr="008C429E">
        <w:rPr>
          <w:i/>
          <w:iCs/>
        </w:rPr>
        <w:t>t</w:t>
      </w:r>
      <w:r w:rsidRPr="008C429E">
        <w:rPr>
          <w:vertAlign w:val="superscript"/>
        </w:rPr>
        <w:t>th</w:t>
      </w:r>
      <w:proofErr w:type="spellEnd"/>
      <w:r>
        <w:t xml:space="preserve"> iteration (the </w:t>
      </w:r>
      <w:proofErr w:type="spellStart"/>
      <w:r w:rsidRPr="008C429E">
        <w:rPr>
          <w:i/>
          <w:iCs/>
        </w:rPr>
        <w:t>t</w:t>
      </w:r>
      <w:r w:rsidRPr="008C429E">
        <w:rPr>
          <w:vertAlign w:val="superscript"/>
        </w:rPr>
        <w:t>th</w:t>
      </w:r>
      <w:proofErr w:type="spellEnd"/>
      <w:r>
        <w:t xml:space="preserve"> time), equation 1.1 and equation 1.2 are denoted as follows:</w:t>
      </w:r>
    </w:p>
    <w:p w14:paraId="53476A68" w14:textId="035F264C" w:rsidR="008C429E" w:rsidRPr="002044E6" w:rsidRDefault="00B82DD8"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B82DD8"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50A58446" w14:textId="71107B9D"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lastRenderedPageBreak/>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End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B82DD8"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End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B82DD8"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w:t>
      </w:r>
      <w:r w:rsidR="000377C7">
        <w:rPr>
          <w:rFonts w:eastAsiaTheme="minorEastAsia" w:cs="Times New Roman"/>
        </w:rPr>
        <w:lastRenderedPageBreak/>
        <w:t xml:space="preserve">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End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B82DD8"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B82DD8"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so as to reach global optimizer whereas the </w:t>
      </w:r>
      <w:r>
        <w:lastRenderedPageBreak/>
        <w:t xml:space="preserve">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0"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0"/>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End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7401A5">
      <w:pPr>
        <w:rPr>
          <w:b/>
          <w:bCs/>
          <w:sz w:val="28"/>
          <w:szCs w:val="28"/>
        </w:rPr>
      </w:pPr>
      <w:r>
        <w:rPr>
          <w:b/>
          <w:bCs/>
          <w:sz w:val="28"/>
          <w:szCs w:val="28"/>
        </w:rPr>
        <w:t>2</w:t>
      </w:r>
      <w:r w:rsidR="007401A5" w:rsidRPr="00162A48">
        <w:rPr>
          <w:b/>
          <w:bCs/>
          <w:sz w:val="28"/>
          <w:szCs w:val="28"/>
        </w:rPr>
        <w:t>. Variants of PSO</w:t>
      </w:r>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7401A5">
      <w:pPr>
        <w:rPr>
          <w:b/>
          <w:bCs/>
        </w:rPr>
      </w:pPr>
      <w:r>
        <w:rPr>
          <w:b/>
          <w:bCs/>
        </w:rPr>
        <w:t>2</w:t>
      </w:r>
      <w:r w:rsidR="00581409" w:rsidRPr="00581409">
        <w:rPr>
          <w:b/>
          <w:bCs/>
        </w:rPr>
        <w:t xml:space="preserve">.1. Simplified </w:t>
      </w:r>
      <w:r w:rsidR="00C01E03">
        <w:rPr>
          <w:b/>
          <w:bCs/>
        </w:rPr>
        <w:t xml:space="preserve">and improved </w:t>
      </w:r>
      <w:r w:rsidR="00581409" w:rsidRPr="00581409">
        <w:rPr>
          <w:b/>
          <w:bCs/>
        </w:rPr>
        <w:t>PSO</w:t>
      </w:r>
      <w:r w:rsidR="00D30ECE">
        <w:rPr>
          <w:b/>
          <w:bCs/>
        </w:rPr>
        <w:t>s</w:t>
      </w:r>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End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End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End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469D2EF5" w:rsidR="00663AB7" w:rsidRPr="00663AB7" w:rsidRDefault="00B82DD8"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first proposed by Quan-</w:t>
      </w:r>
      <w:proofErr w:type="spellStart"/>
      <w:r w:rsidR="00BA24BB">
        <w:t>Ke</w:t>
      </w:r>
      <w:proofErr w:type="spellEnd"/>
      <w:r w:rsidR="00BA24BB">
        <w:t xml:space="preserv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proofErr w:type="spellStart"/>
      <w:r w:rsidR="008E3D44" w:rsidRPr="00B616AD">
        <w:rPr>
          <w:b/>
          <w:bCs/>
          <w:i/>
          <w:iCs/>
        </w:rPr>
        <w:t>x</w:t>
      </w:r>
      <w:r w:rsidR="008E3D44" w:rsidRPr="00B616AD">
        <w:rPr>
          <w:i/>
          <w:iCs/>
          <w:vertAlign w:val="subscript"/>
        </w:rPr>
        <w:t>j</w:t>
      </w:r>
      <w:r w:rsidR="00B616AD">
        <w:rPr>
          <w:vertAlign w:val="subscript"/>
        </w:rPr>
        <w:softHyphen/>
      </w:r>
      <w:proofErr w:type="spellEnd"/>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End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lastRenderedPageBreak/>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r w:rsidRPr="00E24D52">
        <w:rPr>
          <w:i/>
          <w:iCs/>
        </w:rPr>
        <w:t>f</w:t>
      </w:r>
      <w:r>
        <w:t>(</w:t>
      </w:r>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proofErr w:type="spellStart"/>
      <w:r w:rsidR="00BC5735" w:rsidRPr="00BC5735">
        <w:rPr>
          <w:rFonts w:eastAsiaTheme="minorEastAsia" w:cs="Times New Roman"/>
          <w:i/>
          <w:iCs/>
        </w:rPr>
        <w:t>x</w:t>
      </w:r>
      <w:r w:rsidR="00BC5735" w:rsidRPr="00BC5735">
        <w:rPr>
          <w:rFonts w:eastAsiaTheme="minorEastAsia" w:cs="Times New Roman"/>
          <w:i/>
          <w:iCs/>
          <w:vertAlign w:val="subscript"/>
        </w:rPr>
        <w:t>ij</w:t>
      </w:r>
      <w:proofErr w:type="spellEnd"/>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proofErr w:type="spellStart"/>
      <w:r w:rsidR="002B3BA7" w:rsidRPr="00BC5735">
        <w:rPr>
          <w:rFonts w:eastAsiaTheme="minorEastAsia" w:cs="Times New Roman"/>
          <w:i/>
          <w:iCs/>
        </w:rPr>
        <w:t>x</w:t>
      </w:r>
      <w:r w:rsidR="002B3BA7" w:rsidRPr="00BC5735">
        <w:rPr>
          <w:rFonts w:eastAsiaTheme="minorEastAsia" w:cs="Times New Roman"/>
          <w:i/>
          <w:iCs/>
          <w:vertAlign w:val="subscript"/>
        </w:rPr>
        <w:t>ij</w:t>
      </w:r>
      <w:proofErr w:type="spellEnd"/>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End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sidR="00B316A0">
        <w:rPr>
          <w:rFonts w:eastAsiaTheme="minorEastAsia" w:cs="Times New Roman"/>
        </w:rPr>
        <w:t xml:space="preserve">, </w:t>
      </w:r>
      <w:proofErr w:type="spellStart"/>
      <w:r w:rsidR="00B316A0" w:rsidRPr="00B316A0">
        <w:rPr>
          <w:rFonts w:eastAsiaTheme="minorEastAsia" w:cs="Times New Roman"/>
          <w:i/>
          <w:iCs/>
        </w:rPr>
        <w:t>p</w:t>
      </w:r>
      <w:r w:rsidR="00B316A0" w:rsidRPr="00B316A0">
        <w:rPr>
          <w:rFonts w:eastAsiaTheme="minorEastAsia" w:cs="Times New Roman"/>
          <w:i/>
          <w:iCs/>
          <w:vertAlign w:val="subscript"/>
        </w:rPr>
        <w:t>ij</w:t>
      </w:r>
      <w:proofErr w:type="spellEnd"/>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proofErr w:type="spellStart"/>
      <w:r w:rsidR="00EC13BB" w:rsidRPr="00BC5735">
        <w:rPr>
          <w:rFonts w:eastAsiaTheme="minorEastAsia" w:cs="Times New Roman"/>
          <w:i/>
          <w:iCs/>
        </w:rPr>
        <w:t>x</w:t>
      </w:r>
      <w:r w:rsidR="00EC13BB" w:rsidRPr="00BC5735">
        <w:rPr>
          <w:rFonts w:eastAsiaTheme="minorEastAsia" w:cs="Times New Roman"/>
          <w:i/>
          <w:iCs/>
          <w:vertAlign w:val="subscript"/>
        </w:rPr>
        <w:t>ij</w:t>
      </w:r>
      <w:proofErr w:type="spellEnd"/>
      <w:r w:rsidR="00EC13BB">
        <w:rPr>
          <w:rFonts w:eastAsiaTheme="minorEastAsia" w:cs="Times New Roman"/>
        </w:rPr>
        <w:t xml:space="preserve">, </w:t>
      </w:r>
      <w:proofErr w:type="spellStart"/>
      <w:r w:rsidR="00EC13BB" w:rsidRPr="00B316A0">
        <w:rPr>
          <w:rFonts w:eastAsiaTheme="minorEastAsia" w:cs="Times New Roman"/>
          <w:i/>
          <w:iCs/>
        </w:rPr>
        <w:t>p</w:t>
      </w:r>
      <w:r w:rsidR="00EC13BB" w:rsidRPr="00B316A0">
        <w:rPr>
          <w:rFonts w:eastAsiaTheme="minorEastAsia" w:cs="Times New Roman"/>
          <w:i/>
          <w:iCs/>
          <w:vertAlign w:val="subscript"/>
        </w:rPr>
        <w:t>ij</w:t>
      </w:r>
      <w:proofErr w:type="spellEnd"/>
      <w:r w:rsidR="00EC13BB">
        <w:rPr>
          <w:rFonts w:eastAsiaTheme="minorEastAsia" w:cs="Times New Roman"/>
        </w:rPr>
        <w:t>)</w:t>
      </w:r>
      <w:r>
        <w:rPr>
          <w:rFonts w:eastAsiaTheme="minorEastAsia" w:cs="Times New Roman"/>
        </w:rPr>
        <w:t>.</w:t>
      </w:r>
      <w:r w:rsidR="00D600A4" w:rsidRPr="00D600A4">
        <w:t xml:space="preserve"> </w:t>
      </w:r>
      <w:r w:rsidR="00D600A4">
        <w:t>Figure 2.1.3 illustrates two-cut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End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proofErr w:type="spellStart"/>
      <w:r w:rsidRPr="00DA6699">
        <w:rPr>
          <w:b/>
          <w:bCs/>
          <w:i/>
          <w:iCs/>
        </w:rPr>
        <w:t>p</w:t>
      </w:r>
      <w:r w:rsidR="004B1D3B">
        <w:rPr>
          <w:i/>
          <w:iCs/>
          <w:vertAlign w:val="subscript"/>
        </w:rPr>
        <w:t>g</w:t>
      </w:r>
      <w:proofErr w:type="spellEnd"/>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4B1D3B">
        <w:rPr>
          <w:rFonts w:eastAsiaTheme="minorEastAsia" w:cs="Times New Roman"/>
          <w:i/>
          <w:iCs/>
          <w:vertAlign w:val="subscript"/>
        </w:rPr>
        <w:t>g</w:t>
      </w:r>
      <w:proofErr w:type="spellEnd"/>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proofErr w:type="spellStart"/>
      <w:r w:rsidRPr="00DA6699">
        <w:rPr>
          <w:rFonts w:eastAsiaTheme="minorEastAsia" w:cs="Times New Roman"/>
          <w:b/>
          <w:bCs/>
          <w:i/>
          <w:iCs/>
        </w:rPr>
        <w:t>p</w:t>
      </w:r>
      <w:r w:rsidR="0079156F">
        <w:rPr>
          <w:rFonts w:eastAsiaTheme="minorEastAsia" w:cs="Times New Roman"/>
          <w:i/>
          <w:iCs/>
          <w:vertAlign w:val="subscript"/>
        </w:rPr>
        <w:t>g</w:t>
      </w:r>
      <w:proofErr w:type="spellEnd"/>
      <w:r>
        <w:rPr>
          <w:rFonts w:eastAsiaTheme="minorEastAsia" w:cs="Times New Roman"/>
        </w:rPr>
        <w:t xml:space="preserve"> are browsed pair by pair, at each pair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proofErr w:type="spellStart"/>
      <w:r w:rsidRPr="00BC5735">
        <w:rPr>
          <w:rFonts w:eastAsiaTheme="minorEastAsia" w:cs="Times New Roman"/>
          <w:i/>
          <w:iCs/>
        </w:rPr>
        <w:t>x</w:t>
      </w:r>
      <w:r w:rsidRPr="00BC5735">
        <w:rPr>
          <w:rFonts w:eastAsiaTheme="minorEastAsia" w:cs="Times New Roman"/>
          <w:i/>
          <w:iCs/>
          <w:vertAlign w:val="subscript"/>
        </w:rPr>
        <w:t>ij</w:t>
      </w:r>
      <w:proofErr w:type="spellEnd"/>
      <w:r>
        <w:rPr>
          <w:rFonts w:eastAsiaTheme="minorEastAsia" w:cs="Times New Roman"/>
        </w:rPr>
        <w:t xml:space="preserve">, </w:t>
      </w:r>
      <w:proofErr w:type="spellStart"/>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proofErr w:type="spellEnd"/>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proofErr w:type="spellStart"/>
      <w:r w:rsidR="006E094B" w:rsidRPr="00DA6699">
        <w:rPr>
          <w:b/>
          <w:bCs/>
          <w:i/>
          <w:iCs/>
        </w:rPr>
        <w:t>p</w:t>
      </w:r>
      <w:r w:rsidR="006E094B">
        <w:rPr>
          <w:i/>
          <w:iCs/>
          <w:vertAlign w:val="subscript"/>
        </w:rPr>
        <w:t>g</w:t>
      </w:r>
      <w:proofErr w:type="spellEnd"/>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r w:rsidR="003966EB" w:rsidRPr="00E24D52">
        <w:rPr>
          <w:i/>
          <w:iCs/>
        </w:rPr>
        <w:t>f</w:t>
      </w:r>
      <w:r w:rsidR="003966EB">
        <w:t>(</w:t>
      </w:r>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proofErr w:type="spellStart"/>
      <w:r w:rsidR="003966EB" w:rsidRPr="00DA6699">
        <w:rPr>
          <w:b/>
          <w:bCs/>
          <w:i/>
          <w:iCs/>
        </w:rPr>
        <w:t>p</w:t>
      </w:r>
      <w:r w:rsidR="003966EB">
        <w:rPr>
          <w:i/>
          <w:iCs/>
          <w:vertAlign w:val="subscript"/>
        </w:rPr>
        <w:t>g</w:t>
      </w:r>
      <w:proofErr w:type="spellEnd"/>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End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Look w:val="04A0" w:firstRow="1" w:lastRow="0" w:firstColumn="1" w:lastColumn="0" w:noHBand="0" w:noVBand="1"/>
      </w:tblPr>
      <w:tblGrid>
        <w:gridCol w:w="8160"/>
        <w:gridCol w:w="856"/>
      </w:tblGrid>
      <w:tr w:rsidR="00B77FF1" w14:paraId="7A36D6AF" w14:textId="77777777" w:rsidTr="003A474B">
        <w:tc>
          <w:tcPr>
            <w:tcW w:w="8160" w:type="dxa"/>
          </w:tcPr>
          <w:p w14:paraId="33212556" w14:textId="4E23EDAD" w:rsidR="00B77FF1" w:rsidRPr="00663AB7" w:rsidRDefault="00B82DD8"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B82DD8"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2B65806D"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a </w:t>
      </w:r>
      <w:r w:rsidR="00B21270">
        <w:t xml:space="preserve"> </w:t>
      </w:r>
      <w:r>
        <w:t xml:space="preserve">simple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End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B82DD8"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End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End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w:t>
            </w:r>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proofErr w:type="spellStart"/>
      <w:r w:rsidR="00E12063" w:rsidRPr="00E12063">
        <w:t>Wenbo</w:t>
      </w:r>
      <w:proofErr w:type="spellEnd"/>
      <w:r w:rsidR="00E12063" w:rsidRPr="00E12063">
        <w:t xml:space="preserve">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proofErr w:type="spellStart"/>
      <w:r w:rsidR="00D8277D" w:rsidRPr="00D8277D">
        <w:rPr>
          <w:i/>
          <w:iCs/>
        </w:rPr>
        <w:t>i</w:t>
      </w:r>
      <w:proofErr w:type="spellEnd"/>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proofErr w:type="spellStart"/>
      <w:r w:rsidR="008E21FA" w:rsidRPr="008E21FA">
        <w:rPr>
          <w:b/>
          <w:bCs/>
          <w:i/>
          <w:iCs/>
        </w:rPr>
        <w:t>p</w:t>
      </w:r>
      <w:r w:rsidR="008E21FA" w:rsidRPr="002B1DAC">
        <w:rPr>
          <w:i/>
          <w:iCs/>
          <w:vertAlign w:val="subscript"/>
        </w:rPr>
        <w:t>g</w:t>
      </w:r>
      <w:proofErr w:type="spellEnd"/>
      <w:r w:rsidR="002B1DAC">
        <w:t xml:space="preserve"> as follows</w:t>
      </w:r>
      <w:r w:rsidR="005B643B">
        <w:t xml:space="preserve"> </w:t>
      </w:r>
      <w:sdt>
        <w:sdtPr>
          <w:id w:val="908653624"/>
          <w:citation/>
        </w:sdtPr>
        <w:sdtEnd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Look w:val="04A0" w:firstRow="1" w:lastRow="0" w:firstColumn="1" w:lastColumn="0" w:noHBand="0" w:noVBand="1"/>
      </w:tblPr>
      <w:tblGrid>
        <w:gridCol w:w="8160"/>
        <w:gridCol w:w="856"/>
      </w:tblGrid>
      <w:tr w:rsidR="00961752" w14:paraId="2659F5CD" w14:textId="77777777" w:rsidTr="00B97093">
        <w:tc>
          <w:tcPr>
            <w:tcW w:w="8334" w:type="dxa"/>
          </w:tcPr>
          <w:p w14:paraId="07693C2F" w14:textId="64355EA9" w:rsidR="00961752" w:rsidRPr="00961752" w:rsidRDefault="00B82DD8"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w:t>
      </w:r>
      <w:proofErr w:type="gramStart"/>
      <w:r w:rsidR="00CD3DD2">
        <w:rPr>
          <w:rFonts w:cs="Times New Roman"/>
        </w:rPr>
        <w:t>QPSO</w:t>
      </w:r>
      <w:proofErr w:type="gramEnd"/>
      <w:r w:rsidR="00CD3DD2">
        <w:rPr>
          <w:rFonts w:cs="Times New Roman"/>
        </w:rPr>
        <w:t xml:space="preserve">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End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Look w:val="04A0" w:firstRow="1" w:lastRow="0" w:firstColumn="1" w:lastColumn="0" w:noHBand="0" w:noVBand="1"/>
      </w:tblPr>
      <w:tblGrid>
        <w:gridCol w:w="8160"/>
        <w:gridCol w:w="856"/>
      </w:tblGrid>
      <w:tr w:rsidR="00062ABB" w14:paraId="070BA7CF" w14:textId="77777777" w:rsidTr="00B97093">
        <w:tc>
          <w:tcPr>
            <w:tcW w:w="8334" w:type="dxa"/>
          </w:tcPr>
          <w:p w14:paraId="487CB5E6" w14:textId="1D8262A8" w:rsidR="00062ABB" w:rsidRPr="00961752" w:rsidRDefault="00B82DD8"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m:t>
                                </m:r>
                                <m:r>
                                  <w:rPr>
                                    <w:rFonts w:ascii="Cambria Math" w:hAnsi="Cambria Math"/>
                                  </w:rPr>
                                  <m: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End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Look w:val="04A0" w:firstRow="1" w:lastRow="0" w:firstColumn="1" w:lastColumn="0" w:noHBand="0" w:noVBand="1"/>
      </w:tblPr>
      <w:tblGrid>
        <w:gridCol w:w="8160"/>
        <w:gridCol w:w="856"/>
      </w:tblGrid>
      <w:tr w:rsidR="00A40F9A" w14:paraId="10DF0906" w14:textId="77777777" w:rsidTr="00B97093">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50A9F370" w:rsidR="008233FB" w:rsidRPr="00DB057D" w:rsidRDefault="008233FB" w:rsidP="008233FB">
      <w:pPr>
        <w:ind w:firstLine="360"/>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1"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1"/>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w:t>
      </w:r>
      <w:proofErr w:type="spellStart"/>
      <w:r>
        <w:rPr>
          <w:rFonts w:eastAsiaTheme="minorEastAsia"/>
          <w:color w:val="000000"/>
          <w:szCs w:val="24"/>
        </w:rPr>
        <w:t>affect</w:t>
      </w:r>
      <w:proofErr w:type="spellEnd"/>
      <w:r>
        <w:rPr>
          <w:rFonts w:eastAsiaTheme="minorEastAsia"/>
          <w:color w:val="000000"/>
          <w:szCs w:val="24"/>
        </w:rPr>
        <w:t xml:space="preserve"> on velocity update rule, there are some </w:t>
      </w:r>
      <w:proofErr w:type="gramStart"/>
      <w:r>
        <w:rPr>
          <w:rFonts w:eastAsiaTheme="minorEastAsia"/>
          <w:color w:val="000000"/>
          <w:szCs w:val="24"/>
        </w:rPr>
        <w:t>researches</w:t>
      </w:r>
      <w:proofErr w:type="gramEnd"/>
      <w:r>
        <w:rPr>
          <w:rFonts w:eastAsiaTheme="minorEastAsia"/>
          <w:color w:val="000000"/>
          <w:szCs w:val="24"/>
        </w:rPr>
        <w:t xml:space="preserve">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r w:rsidR="002D348A">
        <w:rPr>
          <w:rFonts w:eastAsiaTheme="minorEastAsia"/>
          <w:color w:val="000000"/>
          <w:szCs w:val="24"/>
        </w:rPr>
        <w:t>adjust</w:t>
      </w:r>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 xml:space="preserve">topology do not </w:t>
      </w:r>
      <w:r w:rsidR="00DB057D">
        <w:rPr>
          <w:rFonts w:eastAsiaTheme="minorEastAsia"/>
          <w:color w:val="000000"/>
          <w:szCs w:val="24"/>
        </w:rPr>
        <w:lastRenderedPageBreak/>
        <w:t>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p>
    <w:p w14:paraId="1AF8C38C" w14:textId="77777777" w:rsidR="00665C40" w:rsidRDefault="00665C40" w:rsidP="00854DB5"/>
    <w:p w14:paraId="53B172D6" w14:textId="4F42549A" w:rsidR="003578FB" w:rsidRPr="00553904" w:rsidRDefault="00FC2648" w:rsidP="00854DB5">
      <w:pPr>
        <w:rPr>
          <w:highlight w:val="yellow"/>
        </w:rPr>
      </w:pPr>
      <w:r>
        <w:rPr>
          <w:highlight w:val="yellow"/>
        </w:rPr>
        <w:t>T</w:t>
      </w:r>
      <w:r w:rsidR="00590719" w:rsidRPr="00553904">
        <w:rPr>
          <w:highlight w:val="yellow"/>
        </w:rPr>
        <w:t>ime-varying acceleration coefficients (TVAC)</w:t>
      </w:r>
      <w:r w:rsidR="00E97E3C" w:rsidRPr="00553904">
        <w:rPr>
          <w:highlight w:val="yellow"/>
        </w:rPr>
        <w:t xml:space="preserve"> </w:t>
      </w:r>
      <w:sdt>
        <w:sdtPr>
          <w:rPr>
            <w:highlight w:val="yellow"/>
          </w:rPr>
          <w:id w:val="1489749327"/>
          <w:citation/>
        </w:sdtPr>
        <w:sdtEndPr/>
        <w:sdtContent>
          <w:r w:rsidR="00E97E3C" w:rsidRPr="00553904">
            <w:rPr>
              <w:highlight w:val="yellow"/>
            </w:rPr>
            <w:fldChar w:fldCharType="begin"/>
          </w:r>
          <w:r w:rsidR="00E97E3C" w:rsidRPr="00553904">
            <w:rPr>
              <w:highlight w:val="yellow"/>
            </w:rPr>
            <w:instrText xml:space="preserve">CITATION Zha15PSO \p 6 \l 1033 </w:instrText>
          </w:r>
          <w:r w:rsidR="00E97E3C" w:rsidRPr="00553904">
            <w:rPr>
              <w:highlight w:val="yellow"/>
            </w:rPr>
            <w:fldChar w:fldCharType="separate"/>
          </w:r>
          <w:r w:rsidR="00E97E3C" w:rsidRPr="00553904">
            <w:rPr>
              <w:noProof/>
              <w:highlight w:val="yellow"/>
            </w:rPr>
            <w:t>(Zhang, Wang, &amp; Ji, 2015, p. 6)</w:t>
          </w:r>
          <w:r w:rsidR="00E97E3C" w:rsidRPr="00553904">
            <w:rPr>
              <w:highlight w:val="yellow"/>
            </w:rPr>
            <w:fldChar w:fldCharType="end"/>
          </w:r>
        </w:sdtContent>
      </w:sdt>
      <w:r w:rsidR="00590719" w:rsidRPr="00553904">
        <w:rPr>
          <w:highlight w:val="yellow"/>
        </w:rPr>
        <w:t>,</w:t>
      </w:r>
    </w:p>
    <w:p w14:paraId="5D03E92B" w14:textId="5B7E445C" w:rsidR="004A1568" w:rsidRDefault="003578FB" w:rsidP="00854DB5">
      <w:r w:rsidRPr="00553904">
        <w:rPr>
          <w:highlight w:val="yellow"/>
        </w:rPr>
        <w:t>Modifying c</w:t>
      </w:r>
      <w:r w:rsidR="00590719" w:rsidRPr="00553904">
        <w:rPr>
          <w:highlight w:val="yellow"/>
        </w:rPr>
        <w:t>oefficients</w:t>
      </w:r>
      <w:r w:rsidRPr="00553904">
        <w:rPr>
          <w:highlight w:val="yellow"/>
        </w:rPr>
        <w:t xml:space="preserve"> </w:t>
      </w:r>
      <w:sdt>
        <w:sdtPr>
          <w:rPr>
            <w:highlight w:val="yellow"/>
          </w:rPr>
          <w:id w:val="-321282934"/>
          <w:citation/>
        </w:sdtPr>
        <w:sdtEndPr/>
        <w:sdtContent>
          <w:r w:rsidRPr="00553904">
            <w:rPr>
              <w:highlight w:val="yellow"/>
            </w:rPr>
            <w:fldChar w:fldCharType="begin"/>
          </w:r>
          <w:r w:rsidRPr="00553904">
            <w:rPr>
              <w:highlight w:val="yellow"/>
            </w:rPr>
            <w:instrText xml:space="preserve">CITATION Bonyadi17PSO \p 24-27 \l 1033 </w:instrText>
          </w:r>
          <w:r w:rsidRPr="00553904">
            <w:rPr>
              <w:highlight w:val="yellow"/>
            </w:rPr>
            <w:fldChar w:fldCharType="separate"/>
          </w:r>
          <w:r w:rsidRPr="00553904">
            <w:rPr>
              <w:noProof/>
              <w:highlight w:val="yellow"/>
            </w:rPr>
            <w:t>(Bonyadi &amp; Michalewicz, 2017, pp. 24-27)</w:t>
          </w:r>
          <w:r w:rsidRPr="00553904">
            <w:rPr>
              <w:highlight w:val="yellow"/>
            </w:rPr>
            <w:fldChar w:fldCharType="end"/>
          </w:r>
        </w:sdtContent>
      </w:sdt>
    </w:p>
    <w:p w14:paraId="238149D6" w14:textId="77777777" w:rsidR="004A1568" w:rsidRDefault="004A1568" w:rsidP="00854DB5"/>
    <w:p w14:paraId="0E5747FD" w14:textId="0894330D" w:rsidR="00AD5E53" w:rsidRPr="00AD5E53" w:rsidRDefault="005F507D" w:rsidP="00854DB5">
      <w:pPr>
        <w:rPr>
          <w:b/>
          <w:bCs/>
        </w:rPr>
      </w:pPr>
      <w:r>
        <w:rPr>
          <w:b/>
          <w:bCs/>
        </w:rPr>
        <w:t>2.</w:t>
      </w:r>
      <w:r w:rsidR="00AD5E53" w:rsidRPr="00AD5E53">
        <w:rPr>
          <w:b/>
          <w:bCs/>
        </w:rPr>
        <w:t>2. Dynamic PSO</w:t>
      </w:r>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2" w:name="_Hlk62464920"/>
      <w:r w:rsidR="00456D28">
        <w:t>dynamic topology, change of fitness function, adaptation (tuning coefficients, adding particles, removing particles, changing particle properties), and diversity control over iterations</w:t>
      </w:r>
      <w:bookmarkEnd w:id="2"/>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r w:rsidR="00FF6B0C">
        <w:t xml:space="preserve"> Note that QPSO and </w:t>
      </w:r>
      <w:r w:rsidR="00344813">
        <w:t xml:space="preserve">TVAC-PSO </w:t>
      </w:r>
      <w:proofErr w:type="gramStart"/>
      <w:r w:rsidR="00344813">
        <w:t>aforementioned can</w:t>
      </w:r>
      <w:proofErr w:type="gramEnd"/>
      <w:r w:rsidR="00344813">
        <w:t xml:space="preserve"> be considered as dynamic PSOs</w:t>
      </w:r>
      <w:r w:rsidR="0058554D">
        <w:t xml:space="preserve"> although they are not mentioned here again because their modifications </w:t>
      </w:r>
      <w:r w:rsidR="00780E92">
        <w:t xml:space="preserve">for solving premature problem </w:t>
      </w:r>
      <w:r w:rsidR="0058554D">
        <w:t xml:space="preserve">are not </w:t>
      </w:r>
      <w:r w:rsidR="00636BCF">
        <w:t>emphasized</w:t>
      </w:r>
      <w:r w:rsidR="0058554D">
        <w:t>.</w:t>
      </w:r>
    </w:p>
    <w:p w14:paraId="7E1AF46B" w14:textId="149D3F2E" w:rsidR="00C01DE7"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 1.1, equation 1.3, equation 1.4, equation 1.5, and equation 1.6</w:t>
      </w:r>
      <w:r w:rsidRPr="004C26B0">
        <w:rPr>
          <w:rFonts w:eastAsiaTheme="minorEastAsia"/>
        </w:rPr>
        <w:t xml:space="preserve"> is static topology because it is kept intact over all iterations of PSO.</w:t>
      </w:r>
      <w:r w:rsidR="00B66FC5">
        <w:rPr>
          <w:rFonts w:eastAsiaTheme="minorEastAsia"/>
        </w:rPr>
        <w:t xml:space="preserve"> </w:t>
      </w:r>
      <w:r>
        <w:rPr>
          <w:rFonts w:eastAsiaTheme="minorEastAsia"/>
        </w:rPr>
        <w:t xml:space="preserve">Here we research </w:t>
      </w:r>
      <w:r w:rsidRPr="00913065">
        <w:rPr>
          <w:rFonts w:eastAsiaTheme="minorEastAsia"/>
        </w:rPr>
        <w:t>dynamic topology</w:t>
      </w:r>
      <w:r>
        <w:rPr>
          <w:rFonts w:eastAsiaTheme="minorEastAsia"/>
        </w:rPr>
        <w:t xml:space="preserve"> in which neighbors and neighborhood are changed at each iteration.</w:t>
      </w:r>
      <w:r w:rsidR="00054B90">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End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End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proofErr w:type="spellStart"/>
      <w:r w:rsidR="0004199A">
        <w:rPr>
          <w:rFonts w:eastAsiaTheme="minorEastAsia"/>
          <w:i/>
          <w:iCs/>
        </w:rPr>
        <w:t>i</w:t>
      </w:r>
      <w:proofErr w:type="spellEnd"/>
      <w:r>
        <w:rPr>
          <w:rFonts w:eastAsiaTheme="minorEastAsia"/>
        </w:rPr>
        <w:t xml:space="preserve">, if </w:t>
      </w:r>
      <w:proofErr w:type="gramStart"/>
      <w:r w:rsidR="00A12936">
        <w:t>FDR</w:t>
      </w:r>
      <w:r w:rsidR="00280226">
        <w:t>(</w:t>
      </w:r>
      <w:proofErr w:type="gramEnd"/>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r>
        <w:t xml:space="preserve">Clerc </w:t>
      </w:r>
      <w:sdt>
        <w:sdtPr>
          <w:id w:val="251484195"/>
          <w:citation/>
        </w:sdtPr>
        <w:sdtEnd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proofErr w:type="gramStart"/>
      <w:r w:rsidR="001C7859">
        <w:t xml:space="preserve">in order </w:t>
      </w:r>
      <w:r w:rsidR="008259C3">
        <w:t>to</w:t>
      </w:r>
      <w:proofErr w:type="gramEnd"/>
      <w:r w:rsidR="008259C3">
        <w:t xml:space="preserve">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lastRenderedPageBreak/>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End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B82DD8" w:rsidP="007401A5">
      <w:sdt>
        <w:sdtPr>
          <w:rPr>
            <w:highlight w:val="yellow"/>
          </w:rPr>
          <w:id w:val="-672185352"/>
          <w:citation/>
        </w:sdtPr>
        <w:sdtEnd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End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End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4D110617" w:rsidR="00AD5E53" w:rsidRDefault="005F507D" w:rsidP="007401A5">
      <w:pPr>
        <w:rPr>
          <w:b/>
          <w:bCs/>
        </w:rPr>
      </w:pPr>
      <w:r>
        <w:rPr>
          <w:b/>
          <w:bCs/>
        </w:rPr>
        <w:t>2.</w:t>
      </w:r>
      <w:r w:rsidR="00AD5E53" w:rsidRPr="00AD5E53">
        <w:rPr>
          <w:b/>
          <w:bCs/>
        </w:rPr>
        <w:t>3. Multi-objective PSO</w:t>
      </w:r>
    </w:p>
    <w:p w14:paraId="1DFF17FF" w14:textId="41A2D8BC" w:rsidR="00D30ECE" w:rsidRDefault="00B82DD8" w:rsidP="007401A5">
      <w:sdt>
        <w:sdtPr>
          <w:rPr>
            <w:highlight w:val="yellow"/>
          </w:rPr>
          <w:id w:val="-1567023224"/>
          <w:citation/>
        </w:sdtPr>
        <w:sdtEnd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End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7401A5">
      <w:pPr>
        <w:rPr>
          <w:b/>
          <w:bCs/>
        </w:rPr>
      </w:pPr>
      <w:r>
        <w:rPr>
          <w:b/>
          <w:bCs/>
        </w:rPr>
        <w:t>2.</w:t>
      </w:r>
      <w:r w:rsidR="00AD5E53" w:rsidRPr="00AD5E53">
        <w:rPr>
          <w:b/>
          <w:bCs/>
        </w:rPr>
        <w:t>4. Constrained PSO</w:t>
      </w:r>
    </w:p>
    <w:p w14:paraId="4F78F36A" w14:textId="49F58927" w:rsidR="00AD5E53" w:rsidRDefault="00B82DD8" w:rsidP="007401A5">
      <w:sdt>
        <w:sdtPr>
          <w:rPr>
            <w:highlight w:val="yellow"/>
          </w:rPr>
          <w:id w:val="827247019"/>
          <w:citation/>
        </w:sdtPr>
        <w:sdtEnd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End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1E2223FA"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 xml:space="preserve">ome algorithms mentioned in next section which are combinations of </w:t>
      </w:r>
      <w:proofErr w:type="gramStart"/>
      <w:r w:rsidR="004C31BB">
        <w:t>PSO</w:t>
      </w:r>
      <w:proofErr w:type="gramEnd"/>
      <w:r w:rsidR="004C31BB">
        <w:t xml:space="preserve"> and other evolutionary algorithms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5A3267FD"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w:t>
      </w:r>
      <w:proofErr w:type="gramStart"/>
      <w:r w:rsidR="00863B92">
        <w:t>birds</w:t>
      </w:r>
      <w:proofErr w:type="gramEnd"/>
      <w:r w:rsidR="00863B92">
        <w:t xml:space="preserve"> search for food </w:t>
      </w:r>
      <w:r w:rsidR="004229BD">
        <w:t>and so it</w:t>
      </w:r>
      <w:r w:rsidR="009109AD">
        <w:t xml:space="preserve">s combination 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p>
    <w:p w14:paraId="5ACC3963" w14:textId="3B94D2DE" w:rsidR="004A1568" w:rsidRDefault="004A1568" w:rsidP="007401A5"/>
    <w:p w14:paraId="576A6CD5" w14:textId="233240B0" w:rsidR="004A1568" w:rsidRPr="004A1568" w:rsidRDefault="004A1568" w:rsidP="007401A5">
      <w:pPr>
        <w:rPr>
          <w:b/>
          <w:bCs/>
        </w:rPr>
      </w:pPr>
      <w:r w:rsidRPr="004A1568">
        <w:rPr>
          <w:b/>
          <w:bCs/>
        </w:rPr>
        <w:t>3.1. PSO and artificial bee colony algorithm</w:t>
      </w:r>
    </w:p>
    <w:p w14:paraId="59E87129" w14:textId="250F8F1D" w:rsidR="004A1568" w:rsidRDefault="00590719" w:rsidP="007401A5">
      <w:r w:rsidRPr="00590719">
        <w:rPr>
          <w:highlight w:val="yellow"/>
        </w:rPr>
        <w:t>ABC and DE</w:t>
      </w:r>
      <w:r w:rsidR="003578FB">
        <w:t xml:space="preserve"> </w:t>
      </w:r>
      <w:sdt>
        <w:sdtPr>
          <w:id w:val="1862629038"/>
          <w:citation/>
        </w:sdtPr>
        <w:sdtEndPr/>
        <w:sdtContent>
          <w:r w:rsidR="003578FB">
            <w:fldChar w:fldCharType="begin"/>
          </w:r>
          <w:r w:rsidR="00F04041">
            <w:rPr>
              <w:highlight w:val="yellow"/>
            </w:rPr>
            <w:instrText xml:space="preserve">CITATION Zha15PSO \p 11 \l 1033 </w:instrText>
          </w:r>
          <w:r w:rsidR="003578FB">
            <w:fldChar w:fldCharType="separate"/>
          </w:r>
          <w:r w:rsidR="00F04041" w:rsidRPr="00F04041">
            <w:rPr>
              <w:noProof/>
              <w:highlight w:val="yellow"/>
            </w:rPr>
            <w:t>(Zhang, Wang, &amp; Ji, 2015, p. 11)</w:t>
          </w:r>
          <w:r w:rsidR="003578FB">
            <w:fldChar w:fldCharType="end"/>
          </w:r>
        </w:sdtContent>
      </w:sdt>
    </w:p>
    <w:p w14:paraId="368B5918" w14:textId="77777777" w:rsidR="00B31CD3" w:rsidRDefault="00B31CD3" w:rsidP="007401A5"/>
    <w:p w14:paraId="478DFBFE" w14:textId="70E354C7" w:rsidR="004A1568" w:rsidRPr="00590719" w:rsidRDefault="004A1568" w:rsidP="007401A5">
      <w:pPr>
        <w:rPr>
          <w:b/>
          <w:bCs/>
        </w:rPr>
      </w:pPr>
      <w:r w:rsidRPr="00590719">
        <w:rPr>
          <w:b/>
          <w:bCs/>
        </w:rPr>
        <w:t>3.2. PSO and genetic algorithm</w:t>
      </w:r>
    </w:p>
    <w:p w14:paraId="5C385BE4" w14:textId="4F2AB0DC" w:rsidR="004A1568" w:rsidRDefault="00B82DD8" w:rsidP="007401A5">
      <w:sdt>
        <w:sdtPr>
          <w:rPr>
            <w:highlight w:val="yellow"/>
          </w:rPr>
          <w:id w:val="350072185"/>
          <w:citation/>
        </w:sdtPr>
        <w:sdtEndPr/>
        <w:sdtContent>
          <w:r w:rsidR="00F04041" w:rsidRPr="00F81B35">
            <w:rPr>
              <w:highlight w:val="yellow"/>
            </w:rPr>
            <w:fldChar w:fldCharType="begin"/>
          </w:r>
          <w:r w:rsidR="00F04041" w:rsidRPr="00F81B35">
            <w:rPr>
              <w:highlight w:val="yellow"/>
            </w:rPr>
            <w:instrText xml:space="preserve">CITATION Zha15PSO \p 9 \l 1033 </w:instrText>
          </w:r>
          <w:r w:rsidR="00F04041" w:rsidRPr="00F81B35">
            <w:rPr>
              <w:highlight w:val="yellow"/>
            </w:rPr>
            <w:fldChar w:fldCharType="separate"/>
          </w:r>
          <w:r w:rsidR="00F04041" w:rsidRPr="00F81B35">
            <w:rPr>
              <w:noProof/>
              <w:highlight w:val="yellow"/>
            </w:rPr>
            <w:t>(Zhang, Wang, &amp; Ji, 2015, p. 9)</w:t>
          </w:r>
          <w:r w:rsidR="00F04041" w:rsidRPr="00F81B35">
            <w:rPr>
              <w:highlight w:val="yellow"/>
            </w:rPr>
            <w:fldChar w:fldCharType="end"/>
          </w:r>
        </w:sdtContent>
      </w:sdt>
    </w:p>
    <w:p w14:paraId="6DBB3B96" w14:textId="77777777" w:rsidR="00B31CD3" w:rsidRDefault="00B31CD3" w:rsidP="007401A5"/>
    <w:p w14:paraId="2AF7BE19" w14:textId="046A9929" w:rsidR="004A1568" w:rsidRPr="004A1568" w:rsidRDefault="004A1568" w:rsidP="007401A5">
      <w:pPr>
        <w:rPr>
          <w:b/>
          <w:bCs/>
        </w:rPr>
      </w:pPr>
      <w:r w:rsidRPr="004A1568">
        <w:rPr>
          <w:b/>
          <w:bCs/>
        </w:rPr>
        <w:t>3.</w:t>
      </w:r>
      <w:r>
        <w:rPr>
          <w:b/>
          <w:bCs/>
        </w:rPr>
        <w:t>3</w:t>
      </w:r>
      <w:r w:rsidRPr="004A1568">
        <w:rPr>
          <w:b/>
          <w:bCs/>
        </w:rPr>
        <w:t>. PSO and artificial neural network</w:t>
      </w:r>
    </w:p>
    <w:p w14:paraId="757599A9" w14:textId="321D0841" w:rsidR="004A1568" w:rsidRDefault="00B82DD8" w:rsidP="007401A5">
      <w:sdt>
        <w:sdtPr>
          <w:rPr>
            <w:highlight w:val="yellow"/>
          </w:rPr>
          <w:id w:val="-1827731950"/>
          <w:citation/>
        </w:sdtPr>
        <w:sdtEnd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End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18FE92DC" w:rsidR="004A1568" w:rsidRPr="00590719" w:rsidRDefault="004A1568" w:rsidP="007401A5">
      <w:pPr>
        <w:rPr>
          <w:b/>
          <w:bCs/>
        </w:rPr>
      </w:pPr>
      <w:r w:rsidRPr="00590719">
        <w:rPr>
          <w:b/>
          <w:bCs/>
        </w:rPr>
        <w:t>3.4. PSO and machine learning algorithms</w:t>
      </w:r>
    </w:p>
    <w:p w14:paraId="1CD21558" w14:textId="0A4CB899" w:rsidR="004A1568" w:rsidRPr="00B31CD3" w:rsidRDefault="00590719" w:rsidP="007401A5">
      <w:pPr>
        <w:rPr>
          <w:highlight w:val="yellow"/>
        </w:rPr>
      </w:pPr>
      <w:r w:rsidRPr="00B31CD3">
        <w:rPr>
          <w:highlight w:val="yellow"/>
        </w:rPr>
        <w:t>SA</w:t>
      </w:r>
      <w:r w:rsidR="00F04041" w:rsidRPr="00B31CD3">
        <w:rPr>
          <w:highlight w:val="yellow"/>
        </w:rPr>
        <w:t xml:space="preserve"> </w:t>
      </w:r>
      <w:sdt>
        <w:sdtPr>
          <w:rPr>
            <w:highlight w:val="yellow"/>
          </w:rPr>
          <w:id w:val="-117149784"/>
          <w:citation/>
        </w:sdtPr>
        <w:sdtEndPr/>
        <w:sdtContent>
          <w:r w:rsidR="00F04041" w:rsidRPr="00B31CD3">
            <w:rPr>
              <w:highlight w:val="yellow"/>
            </w:rPr>
            <w:fldChar w:fldCharType="begin"/>
          </w:r>
          <w:r w:rsidR="00F04041" w:rsidRPr="00B31CD3">
            <w:rPr>
              <w:highlight w:val="yellow"/>
            </w:rPr>
            <w:instrText xml:space="preserve">CITATION Zha15PSO \p 10 \l 1033 </w:instrText>
          </w:r>
          <w:r w:rsidR="00F04041" w:rsidRPr="00B31CD3">
            <w:rPr>
              <w:highlight w:val="yellow"/>
            </w:rPr>
            <w:fldChar w:fldCharType="separate"/>
          </w:r>
          <w:r w:rsidR="00F04041" w:rsidRPr="00B31CD3">
            <w:rPr>
              <w:noProof/>
              <w:highlight w:val="yellow"/>
            </w:rPr>
            <w:t>(Zhang, Wang, &amp; Ji, 2015, p. 10)</w:t>
          </w:r>
          <w:r w:rsidR="00F04041" w:rsidRPr="00B31CD3">
            <w:rPr>
              <w:highlight w:val="yellow"/>
            </w:rPr>
            <w:fldChar w:fldCharType="end"/>
          </w:r>
        </w:sdtContent>
      </w:sdt>
    </w:p>
    <w:p w14:paraId="61CCC4FF" w14:textId="13F97599" w:rsidR="00F04041" w:rsidRDefault="00F04041" w:rsidP="007401A5">
      <w:r w:rsidRPr="00B31CD3">
        <w:rPr>
          <w:highlight w:val="yellow"/>
        </w:rPr>
        <w:t xml:space="preserve">Fuzzy PSO </w:t>
      </w:r>
      <w:sdt>
        <w:sdtPr>
          <w:rPr>
            <w:highlight w:val="yellow"/>
          </w:rPr>
          <w:id w:val="-925563821"/>
          <w:citation/>
        </w:sdtPr>
        <w:sdtEnd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D30ECE">
      <w:pPr>
        <w:rPr>
          <w:b/>
          <w:bCs/>
          <w:sz w:val="28"/>
          <w:szCs w:val="28"/>
        </w:rPr>
      </w:pPr>
      <w:r>
        <w:rPr>
          <w:b/>
          <w:bCs/>
          <w:sz w:val="28"/>
          <w:szCs w:val="28"/>
        </w:rPr>
        <w:t>4</w:t>
      </w:r>
      <w:r w:rsidR="00D30ECE" w:rsidRPr="00162A48">
        <w:rPr>
          <w:b/>
          <w:bCs/>
          <w:sz w:val="28"/>
          <w:szCs w:val="28"/>
        </w:rPr>
        <w:t xml:space="preserve">. </w:t>
      </w:r>
      <w:r w:rsidR="00D30ECE">
        <w:rPr>
          <w:b/>
          <w:bCs/>
          <w:sz w:val="28"/>
          <w:szCs w:val="28"/>
        </w:rPr>
        <w:t xml:space="preserve">Theoretical analysis </w:t>
      </w:r>
      <w:r w:rsidR="00D30ECE" w:rsidRPr="00162A48">
        <w:rPr>
          <w:b/>
          <w:bCs/>
          <w:sz w:val="28"/>
          <w:szCs w:val="28"/>
        </w:rPr>
        <w:t>of PSO</w:t>
      </w:r>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End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C8A5806" w:rsidR="00D30ECE" w:rsidRDefault="00B82DD8" w:rsidP="007401A5">
      <w:sdt>
        <w:sdtPr>
          <w:rPr>
            <w:highlight w:val="yellow"/>
          </w:rPr>
          <w:id w:val="1660576252"/>
          <w:citation/>
        </w:sdtPr>
        <w:sdtEnd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End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1025AC46" w14:textId="104EAFE8" w:rsidR="00A536CF" w:rsidRDefault="00A536CF" w:rsidP="007401A5"/>
    <w:p w14:paraId="35BF0CC8" w14:textId="77777777" w:rsidR="00A536CF" w:rsidRDefault="00A536CF" w:rsidP="007401A5"/>
    <w:p w14:paraId="1BE3D715" w14:textId="0910CDB2" w:rsidR="007401A5" w:rsidRPr="00162A48" w:rsidRDefault="005F507D" w:rsidP="007401A5">
      <w:pPr>
        <w:rPr>
          <w:b/>
          <w:bCs/>
          <w:sz w:val="28"/>
          <w:szCs w:val="28"/>
        </w:rPr>
      </w:pPr>
      <w:r>
        <w:rPr>
          <w:b/>
          <w:bCs/>
          <w:sz w:val="28"/>
          <w:szCs w:val="28"/>
        </w:rPr>
        <w:t>5</w:t>
      </w:r>
      <w:r w:rsidR="007401A5" w:rsidRPr="00162A48">
        <w:rPr>
          <w:b/>
          <w:bCs/>
          <w:sz w:val="28"/>
          <w:szCs w:val="28"/>
        </w:rPr>
        <w:t xml:space="preserve">. </w:t>
      </w:r>
      <w:r>
        <w:rPr>
          <w:b/>
          <w:bCs/>
          <w:sz w:val="28"/>
          <w:szCs w:val="28"/>
        </w:rPr>
        <w:t>Discussions</w:t>
      </w:r>
    </w:p>
    <w:p w14:paraId="396D2158" w14:textId="77777777" w:rsidR="005F507D" w:rsidRDefault="005F507D" w:rsidP="007401A5"/>
    <w:p w14:paraId="4960A94B" w14:textId="5ECAE3C0" w:rsidR="005F507D" w:rsidRPr="00C53FF4" w:rsidRDefault="005F507D" w:rsidP="007401A5">
      <w:pPr>
        <w:rPr>
          <w:b/>
          <w:bCs/>
        </w:rPr>
      </w:pPr>
      <w:r w:rsidRPr="00C53FF4">
        <w:rPr>
          <w:b/>
          <w:bCs/>
        </w:rPr>
        <w:t>5.1. Limitations and open questions</w:t>
      </w:r>
    </w:p>
    <w:p w14:paraId="69ACD414" w14:textId="2AA4F760" w:rsidR="005F507D" w:rsidRDefault="005F507D" w:rsidP="007401A5"/>
    <w:p w14:paraId="07E2FF1D" w14:textId="38FED5FE" w:rsidR="005F507D" w:rsidRPr="00C53FF4" w:rsidRDefault="005F507D" w:rsidP="007401A5">
      <w:pPr>
        <w:rPr>
          <w:b/>
          <w:bCs/>
        </w:rPr>
      </w:pPr>
      <w:r w:rsidRPr="00C53FF4">
        <w:rPr>
          <w:b/>
          <w:bCs/>
        </w:rPr>
        <w:t xml:space="preserve">5.2. </w:t>
      </w:r>
      <w:r w:rsidR="00B31CD3">
        <w:rPr>
          <w:b/>
          <w:bCs/>
        </w:rPr>
        <w:t>Applications</w:t>
      </w:r>
      <w:r w:rsidRPr="00C53FF4">
        <w:rPr>
          <w:b/>
          <w:bCs/>
        </w:rPr>
        <w:t xml:space="preserve"> of PSO</w:t>
      </w:r>
    </w:p>
    <w:p w14:paraId="4841C239" w14:textId="793E14E4" w:rsidR="005F507D" w:rsidRDefault="00B82DD8" w:rsidP="007401A5">
      <w:sdt>
        <w:sdtPr>
          <w:id w:val="1772355786"/>
          <w:citation/>
        </w:sdtPr>
        <w:sdtEndPr/>
        <w:sdtContent>
          <w:r w:rsidR="00B31CD3">
            <w:fldChar w:fldCharType="begin"/>
          </w:r>
          <w:r w:rsidR="00B31CD3">
            <w:instrText xml:space="preserve">CITATION Zha15PSO \p 16 \l 1033 </w:instrText>
          </w:r>
          <w:r w:rsidR="00B31CD3">
            <w:fldChar w:fldCharType="separate"/>
          </w:r>
          <w:r w:rsidR="00B31CD3">
            <w:rPr>
              <w:noProof/>
            </w:rPr>
            <w:t>(Zhang, Wang, &amp; Ji, 2015, p. 16)</w:t>
          </w:r>
          <w:r w:rsidR="00B31CD3">
            <w:fldChar w:fldCharType="end"/>
          </w:r>
        </w:sdtContent>
      </w:sdt>
    </w:p>
    <w:p w14:paraId="3C579E2A" w14:textId="77777777" w:rsidR="005F507D" w:rsidRDefault="005F507D" w:rsidP="007401A5"/>
    <w:p w14:paraId="793B2F07" w14:textId="3E1AC631" w:rsidR="007401A5" w:rsidRPr="00162A48" w:rsidRDefault="007401A5" w:rsidP="007401A5">
      <w:pPr>
        <w:rPr>
          <w:b/>
          <w:bCs/>
          <w:sz w:val="28"/>
          <w:szCs w:val="28"/>
        </w:rPr>
      </w:pPr>
      <w:r w:rsidRPr="00162A48">
        <w:rPr>
          <w:b/>
          <w:bCs/>
          <w:sz w:val="28"/>
          <w:szCs w:val="28"/>
        </w:rPr>
        <w:t>References</w:t>
      </w:r>
    </w:p>
    <w:p w14:paraId="1A36EC91" w14:textId="77777777" w:rsidR="001D3682" w:rsidRDefault="00015CC3" w:rsidP="001D3682">
      <w:pPr>
        <w:pStyle w:val="Bibliography"/>
        <w:ind w:left="720" w:hanging="720"/>
        <w:rPr>
          <w:noProof/>
          <w:szCs w:val="24"/>
        </w:rPr>
      </w:pPr>
      <w:r>
        <w:fldChar w:fldCharType="begin"/>
      </w:r>
      <w:r>
        <w:instrText xml:space="preserve"> BIBLIOGRAPHY  \l 1033 </w:instrText>
      </w:r>
      <w:r>
        <w:fldChar w:fldCharType="separate"/>
      </w:r>
      <w:r w:rsidR="001D3682">
        <w:rPr>
          <w:noProof/>
        </w:rPr>
        <w:t xml:space="preserve">al-Rifaie, M. M., &amp; Blackwell, T. (2012). Bare Bones Particle Swarms with Jumps. In M. Dorigo, M. Birattari, C. Blum, A. L. Christensen, A. P. Engelbrecht, R. Groß, &amp; T. Stützle (Ed.), </w:t>
      </w:r>
      <w:r w:rsidR="001D3682">
        <w:rPr>
          <w:i/>
          <w:iCs/>
          <w:noProof/>
        </w:rPr>
        <w:t>International Conference on Swarm Intelligence.</w:t>
      </w:r>
      <w:r w:rsidR="001D3682">
        <w:rPr>
          <w:noProof/>
        </w:rPr>
        <w:t xml:space="preserve"> </w:t>
      </w:r>
      <w:r w:rsidR="001D3682">
        <w:rPr>
          <w:i/>
          <w:iCs/>
          <w:noProof/>
        </w:rPr>
        <w:t>Lecture Notes in Computer Science 7461</w:t>
      </w:r>
      <w:r w:rsidR="001D3682">
        <w:rPr>
          <w:noProof/>
        </w:rPr>
        <w:t>, pp. 49-60. Brussels: Springer Berlin. doi:10.1007/978-3-642-32650-9_5</w:t>
      </w:r>
    </w:p>
    <w:p w14:paraId="481E2A3A" w14:textId="77777777" w:rsidR="001D3682" w:rsidRDefault="001D3682" w:rsidP="001D3682">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4846CBB6" w14:textId="77777777" w:rsidR="001D3682" w:rsidRDefault="001D3682" w:rsidP="001D3682">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5F01DA62" w14:textId="77777777" w:rsidR="001D3682" w:rsidRDefault="001D3682" w:rsidP="001D3682">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6523D690" w14:textId="77777777" w:rsidR="001D3682" w:rsidRDefault="001D3682" w:rsidP="001D3682">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2AEB40E9" w14:textId="77777777" w:rsidR="001D3682" w:rsidRDefault="001D3682" w:rsidP="001D3682">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1E25E205" w14:textId="77777777" w:rsidR="001D3682" w:rsidRDefault="001D3682" w:rsidP="001D3682">
      <w:pPr>
        <w:pStyle w:val="Bibliography"/>
        <w:ind w:left="720" w:hanging="720"/>
        <w:rPr>
          <w:noProof/>
        </w:rPr>
      </w:pPr>
      <w:r>
        <w:rPr>
          <w:noProof/>
        </w:rPr>
        <w:t xml:space="preserve">Ratnaweera, A., Halgamuge, S. K., &amp; Watson, H. C. (2004, June 14). Self-organizing hierarchical particle swarm optimizer with time-varying acceleration coefficients. (R. C. Eberhart, &amp; Y. Shi, Eds.) </w:t>
      </w:r>
      <w:r>
        <w:rPr>
          <w:i/>
          <w:iCs/>
          <w:noProof/>
        </w:rPr>
        <w:t>IEEE Transactions on Evolutionary Computation, 8</w:t>
      </w:r>
      <w:r>
        <w:rPr>
          <w:noProof/>
        </w:rPr>
        <w:t>(3), 240-255. doi:10.1109/TEVC.2004.826071</w:t>
      </w:r>
    </w:p>
    <w:p w14:paraId="2E5C9636" w14:textId="77777777" w:rsidR="001D3682" w:rsidRDefault="001D3682" w:rsidP="001D3682">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30FB5888" w14:textId="77777777" w:rsidR="001D3682" w:rsidRDefault="001D3682" w:rsidP="001D3682">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358014C0" w14:textId="77777777" w:rsidR="001D3682" w:rsidRDefault="001D3682" w:rsidP="001D3682">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1D3682">
      <w:r>
        <w:fldChar w:fldCharType="end"/>
      </w:r>
    </w:p>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20839" w14:textId="77777777" w:rsidR="00B82DD8" w:rsidRDefault="00B82DD8" w:rsidP="007E3D59">
      <w:r>
        <w:separator/>
      </w:r>
    </w:p>
  </w:endnote>
  <w:endnote w:type="continuationSeparator" w:id="0">
    <w:p w14:paraId="08214FA6" w14:textId="77777777" w:rsidR="00B82DD8" w:rsidRDefault="00B82DD8"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DCF54" w14:textId="77777777" w:rsidR="00B82DD8" w:rsidRDefault="00B82DD8" w:rsidP="007E3D59">
      <w:r>
        <w:separator/>
      </w:r>
    </w:p>
  </w:footnote>
  <w:footnote w:type="continuationSeparator" w:id="0">
    <w:p w14:paraId="22A29B41" w14:textId="77777777" w:rsidR="00B82DD8" w:rsidRDefault="00B82DD8"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5C94"/>
    <w:rsid w:val="00015730"/>
    <w:rsid w:val="00015CC3"/>
    <w:rsid w:val="00016116"/>
    <w:rsid w:val="00020254"/>
    <w:rsid w:val="000268F6"/>
    <w:rsid w:val="000377C7"/>
    <w:rsid w:val="0004199A"/>
    <w:rsid w:val="0004458C"/>
    <w:rsid w:val="00054B90"/>
    <w:rsid w:val="00061EA8"/>
    <w:rsid w:val="00062ABB"/>
    <w:rsid w:val="0006391E"/>
    <w:rsid w:val="00072EB2"/>
    <w:rsid w:val="0008556B"/>
    <w:rsid w:val="0009071D"/>
    <w:rsid w:val="000A49AC"/>
    <w:rsid w:val="000A716A"/>
    <w:rsid w:val="000B0A2F"/>
    <w:rsid w:val="000C7FAC"/>
    <w:rsid w:val="000E08E6"/>
    <w:rsid w:val="000E3608"/>
    <w:rsid w:val="000E5FBC"/>
    <w:rsid w:val="000F3C13"/>
    <w:rsid w:val="001224AC"/>
    <w:rsid w:val="001236DE"/>
    <w:rsid w:val="00127A5C"/>
    <w:rsid w:val="00134661"/>
    <w:rsid w:val="0013742D"/>
    <w:rsid w:val="00140931"/>
    <w:rsid w:val="00140DE9"/>
    <w:rsid w:val="00141124"/>
    <w:rsid w:val="0014167A"/>
    <w:rsid w:val="00145852"/>
    <w:rsid w:val="0015118C"/>
    <w:rsid w:val="00153C8D"/>
    <w:rsid w:val="001603E3"/>
    <w:rsid w:val="00162A48"/>
    <w:rsid w:val="001769B4"/>
    <w:rsid w:val="001775EA"/>
    <w:rsid w:val="00191202"/>
    <w:rsid w:val="00191F44"/>
    <w:rsid w:val="00197281"/>
    <w:rsid w:val="001975A9"/>
    <w:rsid w:val="001C05EE"/>
    <w:rsid w:val="001C2B8F"/>
    <w:rsid w:val="001C7859"/>
    <w:rsid w:val="001D3682"/>
    <w:rsid w:val="001F27B6"/>
    <w:rsid w:val="00201190"/>
    <w:rsid w:val="00203A99"/>
    <w:rsid w:val="002044E6"/>
    <w:rsid w:val="00206A8E"/>
    <w:rsid w:val="00210DB5"/>
    <w:rsid w:val="00212FEF"/>
    <w:rsid w:val="00224085"/>
    <w:rsid w:val="00231513"/>
    <w:rsid w:val="00232D3C"/>
    <w:rsid w:val="00250419"/>
    <w:rsid w:val="002520EA"/>
    <w:rsid w:val="0025743F"/>
    <w:rsid w:val="00267B3D"/>
    <w:rsid w:val="00267F24"/>
    <w:rsid w:val="0027214A"/>
    <w:rsid w:val="00274D23"/>
    <w:rsid w:val="00274D34"/>
    <w:rsid w:val="002763FD"/>
    <w:rsid w:val="00280226"/>
    <w:rsid w:val="0028497D"/>
    <w:rsid w:val="00296A9F"/>
    <w:rsid w:val="002A2A9E"/>
    <w:rsid w:val="002B1DAC"/>
    <w:rsid w:val="002B36E5"/>
    <w:rsid w:val="002B3BA7"/>
    <w:rsid w:val="002C5C5E"/>
    <w:rsid w:val="002D348A"/>
    <w:rsid w:val="002E04F8"/>
    <w:rsid w:val="002E6013"/>
    <w:rsid w:val="002F1049"/>
    <w:rsid w:val="002F42AF"/>
    <w:rsid w:val="0030042D"/>
    <w:rsid w:val="00300BE7"/>
    <w:rsid w:val="00301289"/>
    <w:rsid w:val="003027F4"/>
    <w:rsid w:val="003034D6"/>
    <w:rsid w:val="00304B2A"/>
    <w:rsid w:val="0031374E"/>
    <w:rsid w:val="003209F5"/>
    <w:rsid w:val="00333092"/>
    <w:rsid w:val="00336453"/>
    <w:rsid w:val="00344813"/>
    <w:rsid w:val="003549F4"/>
    <w:rsid w:val="00355E15"/>
    <w:rsid w:val="003578FB"/>
    <w:rsid w:val="0036054B"/>
    <w:rsid w:val="00360C1D"/>
    <w:rsid w:val="00366B41"/>
    <w:rsid w:val="00367500"/>
    <w:rsid w:val="00370BDA"/>
    <w:rsid w:val="00374C82"/>
    <w:rsid w:val="00380BF0"/>
    <w:rsid w:val="0038657A"/>
    <w:rsid w:val="003966EB"/>
    <w:rsid w:val="003A474B"/>
    <w:rsid w:val="003B7B3C"/>
    <w:rsid w:val="003C240B"/>
    <w:rsid w:val="003C3CA6"/>
    <w:rsid w:val="003C584B"/>
    <w:rsid w:val="003C5B76"/>
    <w:rsid w:val="003D245F"/>
    <w:rsid w:val="003E6645"/>
    <w:rsid w:val="00401CC8"/>
    <w:rsid w:val="00410DFF"/>
    <w:rsid w:val="004229BD"/>
    <w:rsid w:val="00427829"/>
    <w:rsid w:val="00431CAB"/>
    <w:rsid w:val="00442495"/>
    <w:rsid w:val="00451152"/>
    <w:rsid w:val="00453E4E"/>
    <w:rsid w:val="00456113"/>
    <w:rsid w:val="00456D28"/>
    <w:rsid w:val="004573D0"/>
    <w:rsid w:val="00460376"/>
    <w:rsid w:val="0046236D"/>
    <w:rsid w:val="004631F8"/>
    <w:rsid w:val="00466F2B"/>
    <w:rsid w:val="0048060D"/>
    <w:rsid w:val="00485107"/>
    <w:rsid w:val="00490473"/>
    <w:rsid w:val="00491BE5"/>
    <w:rsid w:val="00492AFC"/>
    <w:rsid w:val="004A1568"/>
    <w:rsid w:val="004A51C2"/>
    <w:rsid w:val="004B1D3B"/>
    <w:rsid w:val="004B5CF6"/>
    <w:rsid w:val="004C047A"/>
    <w:rsid w:val="004C26B0"/>
    <w:rsid w:val="004C31BB"/>
    <w:rsid w:val="004C3AB3"/>
    <w:rsid w:val="004C4E81"/>
    <w:rsid w:val="004C5C82"/>
    <w:rsid w:val="004D246F"/>
    <w:rsid w:val="004E6656"/>
    <w:rsid w:val="004E7224"/>
    <w:rsid w:val="004F17EB"/>
    <w:rsid w:val="004F6E71"/>
    <w:rsid w:val="005000DB"/>
    <w:rsid w:val="00500DDD"/>
    <w:rsid w:val="00513FEC"/>
    <w:rsid w:val="00523F19"/>
    <w:rsid w:val="00524245"/>
    <w:rsid w:val="0053059C"/>
    <w:rsid w:val="00540CA9"/>
    <w:rsid w:val="0054211E"/>
    <w:rsid w:val="00542F6D"/>
    <w:rsid w:val="00547625"/>
    <w:rsid w:val="00550E87"/>
    <w:rsid w:val="00552D1B"/>
    <w:rsid w:val="00553904"/>
    <w:rsid w:val="00555137"/>
    <w:rsid w:val="00555790"/>
    <w:rsid w:val="005638C8"/>
    <w:rsid w:val="00563D70"/>
    <w:rsid w:val="00565730"/>
    <w:rsid w:val="00565798"/>
    <w:rsid w:val="00567310"/>
    <w:rsid w:val="00570A29"/>
    <w:rsid w:val="00572A1F"/>
    <w:rsid w:val="0057462F"/>
    <w:rsid w:val="00581409"/>
    <w:rsid w:val="0058554D"/>
    <w:rsid w:val="00586B09"/>
    <w:rsid w:val="00590719"/>
    <w:rsid w:val="00593E4F"/>
    <w:rsid w:val="00595DD0"/>
    <w:rsid w:val="00595F3F"/>
    <w:rsid w:val="00597040"/>
    <w:rsid w:val="005A08DD"/>
    <w:rsid w:val="005A10E3"/>
    <w:rsid w:val="005A47F3"/>
    <w:rsid w:val="005A4D8B"/>
    <w:rsid w:val="005B643B"/>
    <w:rsid w:val="005C19A1"/>
    <w:rsid w:val="005C4474"/>
    <w:rsid w:val="005C5C7C"/>
    <w:rsid w:val="005D6A12"/>
    <w:rsid w:val="005E0606"/>
    <w:rsid w:val="005E1AB6"/>
    <w:rsid w:val="005E269B"/>
    <w:rsid w:val="005E6495"/>
    <w:rsid w:val="005F507D"/>
    <w:rsid w:val="00600A24"/>
    <w:rsid w:val="00602594"/>
    <w:rsid w:val="006113E8"/>
    <w:rsid w:val="00612DE7"/>
    <w:rsid w:val="006221EB"/>
    <w:rsid w:val="00622F03"/>
    <w:rsid w:val="00631DD2"/>
    <w:rsid w:val="00636BCF"/>
    <w:rsid w:val="00642765"/>
    <w:rsid w:val="00642BF6"/>
    <w:rsid w:val="00650488"/>
    <w:rsid w:val="00651D5F"/>
    <w:rsid w:val="00662A2F"/>
    <w:rsid w:val="00663AB7"/>
    <w:rsid w:val="00665C40"/>
    <w:rsid w:val="00682380"/>
    <w:rsid w:val="00683229"/>
    <w:rsid w:val="00686923"/>
    <w:rsid w:val="00691F77"/>
    <w:rsid w:val="00694FF9"/>
    <w:rsid w:val="00696922"/>
    <w:rsid w:val="006A695D"/>
    <w:rsid w:val="006B5CA9"/>
    <w:rsid w:val="006C55D1"/>
    <w:rsid w:val="006D5B90"/>
    <w:rsid w:val="006E094B"/>
    <w:rsid w:val="006E7CA9"/>
    <w:rsid w:val="006F2BAF"/>
    <w:rsid w:val="006F4D93"/>
    <w:rsid w:val="007041E2"/>
    <w:rsid w:val="007077AE"/>
    <w:rsid w:val="0071182D"/>
    <w:rsid w:val="0071500A"/>
    <w:rsid w:val="00716682"/>
    <w:rsid w:val="0072171E"/>
    <w:rsid w:val="00721986"/>
    <w:rsid w:val="007330EE"/>
    <w:rsid w:val="00733844"/>
    <w:rsid w:val="007375B5"/>
    <w:rsid w:val="00740175"/>
    <w:rsid w:val="007401A5"/>
    <w:rsid w:val="0074025E"/>
    <w:rsid w:val="00753B9E"/>
    <w:rsid w:val="0076418E"/>
    <w:rsid w:val="007653AF"/>
    <w:rsid w:val="0077472E"/>
    <w:rsid w:val="0077568B"/>
    <w:rsid w:val="00780E92"/>
    <w:rsid w:val="0078352B"/>
    <w:rsid w:val="007845D0"/>
    <w:rsid w:val="00785800"/>
    <w:rsid w:val="00790251"/>
    <w:rsid w:val="0079156F"/>
    <w:rsid w:val="007A4E06"/>
    <w:rsid w:val="007A6165"/>
    <w:rsid w:val="007B5340"/>
    <w:rsid w:val="007B6B9E"/>
    <w:rsid w:val="007C271B"/>
    <w:rsid w:val="007C58CF"/>
    <w:rsid w:val="007C5AFE"/>
    <w:rsid w:val="007C651B"/>
    <w:rsid w:val="007E3D59"/>
    <w:rsid w:val="007F1F80"/>
    <w:rsid w:val="00801D49"/>
    <w:rsid w:val="008233FB"/>
    <w:rsid w:val="00823592"/>
    <w:rsid w:val="008259C3"/>
    <w:rsid w:val="00836DF8"/>
    <w:rsid w:val="00836ED7"/>
    <w:rsid w:val="008538FF"/>
    <w:rsid w:val="00854DB5"/>
    <w:rsid w:val="00861935"/>
    <w:rsid w:val="00863B92"/>
    <w:rsid w:val="00870ABF"/>
    <w:rsid w:val="00872F60"/>
    <w:rsid w:val="00877607"/>
    <w:rsid w:val="00886AEF"/>
    <w:rsid w:val="00891458"/>
    <w:rsid w:val="00896342"/>
    <w:rsid w:val="008A66CA"/>
    <w:rsid w:val="008B19EB"/>
    <w:rsid w:val="008B2E53"/>
    <w:rsid w:val="008B3946"/>
    <w:rsid w:val="008C34AD"/>
    <w:rsid w:val="008C429E"/>
    <w:rsid w:val="008C6349"/>
    <w:rsid w:val="008E06AB"/>
    <w:rsid w:val="008E21FA"/>
    <w:rsid w:val="008E3D44"/>
    <w:rsid w:val="008E4489"/>
    <w:rsid w:val="008E579F"/>
    <w:rsid w:val="008F1B5C"/>
    <w:rsid w:val="008F5655"/>
    <w:rsid w:val="008F699C"/>
    <w:rsid w:val="009001CE"/>
    <w:rsid w:val="00900E20"/>
    <w:rsid w:val="00902832"/>
    <w:rsid w:val="00902DE6"/>
    <w:rsid w:val="009109AD"/>
    <w:rsid w:val="00913065"/>
    <w:rsid w:val="00923027"/>
    <w:rsid w:val="00937976"/>
    <w:rsid w:val="009602BB"/>
    <w:rsid w:val="00961752"/>
    <w:rsid w:val="009629FA"/>
    <w:rsid w:val="00971740"/>
    <w:rsid w:val="00973A9F"/>
    <w:rsid w:val="00983542"/>
    <w:rsid w:val="009919B4"/>
    <w:rsid w:val="00992B3B"/>
    <w:rsid w:val="009A7F95"/>
    <w:rsid w:val="009B2568"/>
    <w:rsid w:val="009B2932"/>
    <w:rsid w:val="009C5E47"/>
    <w:rsid w:val="009C795A"/>
    <w:rsid w:val="009D5E39"/>
    <w:rsid w:val="009E3F2E"/>
    <w:rsid w:val="009E5AE9"/>
    <w:rsid w:val="009F4AB8"/>
    <w:rsid w:val="00A12936"/>
    <w:rsid w:val="00A155FA"/>
    <w:rsid w:val="00A23E99"/>
    <w:rsid w:val="00A27DF1"/>
    <w:rsid w:val="00A34F6A"/>
    <w:rsid w:val="00A40961"/>
    <w:rsid w:val="00A40F9A"/>
    <w:rsid w:val="00A44079"/>
    <w:rsid w:val="00A4409E"/>
    <w:rsid w:val="00A4548A"/>
    <w:rsid w:val="00A47EA3"/>
    <w:rsid w:val="00A52FB2"/>
    <w:rsid w:val="00A536CF"/>
    <w:rsid w:val="00A553C5"/>
    <w:rsid w:val="00A634FC"/>
    <w:rsid w:val="00A65DAB"/>
    <w:rsid w:val="00A6621D"/>
    <w:rsid w:val="00A7055A"/>
    <w:rsid w:val="00A712B0"/>
    <w:rsid w:val="00A72CA2"/>
    <w:rsid w:val="00A82F8D"/>
    <w:rsid w:val="00A8412A"/>
    <w:rsid w:val="00AA0531"/>
    <w:rsid w:val="00AA2124"/>
    <w:rsid w:val="00AA3C59"/>
    <w:rsid w:val="00AB4EB9"/>
    <w:rsid w:val="00AC0E01"/>
    <w:rsid w:val="00AC2821"/>
    <w:rsid w:val="00AC3841"/>
    <w:rsid w:val="00AC46B5"/>
    <w:rsid w:val="00AC4B53"/>
    <w:rsid w:val="00AC5605"/>
    <w:rsid w:val="00AD36BF"/>
    <w:rsid w:val="00AD4D84"/>
    <w:rsid w:val="00AD5E53"/>
    <w:rsid w:val="00AF060B"/>
    <w:rsid w:val="00AF215B"/>
    <w:rsid w:val="00AF21F0"/>
    <w:rsid w:val="00B0581A"/>
    <w:rsid w:val="00B1072E"/>
    <w:rsid w:val="00B21270"/>
    <w:rsid w:val="00B214D7"/>
    <w:rsid w:val="00B316A0"/>
    <w:rsid w:val="00B31CD3"/>
    <w:rsid w:val="00B35C26"/>
    <w:rsid w:val="00B44E31"/>
    <w:rsid w:val="00B532A4"/>
    <w:rsid w:val="00B616AD"/>
    <w:rsid w:val="00B62A44"/>
    <w:rsid w:val="00B66FC5"/>
    <w:rsid w:val="00B74064"/>
    <w:rsid w:val="00B74C4D"/>
    <w:rsid w:val="00B77FF1"/>
    <w:rsid w:val="00B807D6"/>
    <w:rsid w:val="00B82DD8"/>
    <w:rsid w:val="00B87879"/>
    <w:rsid w:val="00B91FD8"/>
    <w:rsid w:val="00BA24BB"/>
    <w:rsid w:val="00BA56A6"/>
    <w:rsid w:val="00BC141B"/>
    <w:rsid w:val="00BC1FA2"/>
    <w:rsid w:val="00BC5593"/>
    <w:rsid w:val="00BC5735"/>
    <w:rsid w:val="00BC623D"/>
    <w:rsid w:val="00BD2618"/>
    <w:rsid w:val="00BE0F7C"/>
    <w:rsid w:val="00BE1D8A"/>
    <w:rsid w:val="00BE2708"/>
    <w:rsid w:val="00BE2994"/>
    <w:rsid w:val="00BF2B4D"/>
    <w:rsid w:val="00BF35C9"/>
    <w:rsid w:val="00BF4CEA"/>
    <w:rsid w:val="00C01DE7"/>
    <w:rsid w:val="00C01E03"/>
    <w:rsid w:val="00C032AA"/>
    <w:rsid w:val="00C11395"/>
    <w:rsid w:val="00C11B6B"/>
    <w:rsid w:val="00C1741E"/>
    <w:rsid w:val="00C32ACC"/>
    <w:rsid w:val="00C50A54"/>
    <w:rsid w:val="00C53FF4"/>
    <w:rsid w:val="00C604D2"/>
    <w:rsid w:val="00C92200"/>
    <w:rsid w:val="00C94209"/>
    <w:rsid w:val="00CA1217"/>
    <w:rsid w:val="00CA1891"/>
    <w:rsid w:val="00CA7277"/>
    <w:rsid w:val="00CB398D"/>
    <w:rsid w:val="00CB742D"/>
    <w:rsid w:val="00CC78E9"/>
    <w:rsid w:val="00CD3DD2"/>
    <w:rsid w:val="00CD606F"/>
    <w:rsid w:val="00CE1904"/>
    <w:rsid w:val="00CE3D55"/>
    <w:rsid w:val="00CF60F5"/>
    <w:rsid w:val="00D0499D"/>
    <w:rsid w:val="00D12229"/>
    <w:rsid w:val="00D138C7"/>
    <w:rsid w:val="00D1455E"/>
    <w:rsid w:val="00D30741"/>
    <w:rsid w:val="00D30ECE"/>
    <w:rsid w:val="00D35A7C"/>
    <w:rsid w:val="00D475C2"/>
    <w:rsid w:val="00D600A4"/>
    <w:rsid w:val="00D65F3F"/>
    <w:rsid w:val="00D73D0C"/>
    <w:rsid w:val="00D76605"/>
    <w:rsid w:val="00D8277D"/>
    <w:rsid w:val="00D9408D"/>
    <w:rsid w:val="00D96474"/>
    <w:rsid w:val="00D9768A"/>
    <w:rsid w:val="00DA21D7"/>
    <w:rsid w:val="00DA6699"/>
    <w:rsid w:val="00DB057D"/>
    <w:rsid w:val="00DB077A"/>
    <w:rsid w:val="00DC3EE5"/>
    <w:rsid w:val="00DD067A"/>
    <w:rsid w:val="00DD0C88"/>
    <w:rsid w:val="00DD3C36"/>
    <w:rsid w:val="00DD43C5"/>
    <w:rsid w:val="00DE50AB"/>
    <w:rsid w:val="00DE68C6"/>
    <w:rsid w:val="00E03617"/>
    <w:rsid w:val="00E06853"/>
    <w:rsid w:val="00E12063"/>
    <w:rsid w:val="00E12CC7"/>
    <w:rsid w:val="00E17834"/>
    <w:rsid w:val="00E24D52"/>
    <w:rsid w:val="00E26866"/>
    <w:rsid w:val="00E34F99"/>
    <w:rsid w:val="00E35407"/>
    <w:rsid w:val="00E41980"/>
    <w:rsid w:val="00E47020"/>
    <w:rsid w:val="00E56666"/>
    <w:rsid w:val="00E63C73"/>
    <w:rsid w:val="00E675D1"/>
    <w:rsid w:val="00E72CDF"/>
    <w:rsid w:val="00E74BD9"/>
    <w:rsid w:val="00E86D50"/>
    <w:rsid w:val="00E97E3C"/>
    <w:rsid w:val="00EA034C"/>
    <w:rsid w:val="00EA077F"/>
    <w:rsid w:val="00EA34F5"/>
    <w:rsid w:val="00EA5683"/>
    <w:rsid w:val="00EA56DB"/>
    <w:rsid w:val="00EB00A8"/>
    <w:rsid w:val="00EB3616"/>
    <w:rsid w:val="00EB7F09"/>
    <w:rsid w:val="00EC0561"/>
    <w:rsid w:val="00EC11A7"/>
    <w:rsid w:val="00EC13BB"/>
    <w:rsid w:val="00ED01F8"/>
    <w:rsid w:val="00ED4B9F"/>
    <w:rsid w:val="00EE4953"/>
    <w:rsid w:val="00EE55E5"/>
    <w:rsid w:val="00EF11A5"/>
    <w:rsid w:val="00EF34B8"/>
    <w:rsid w:val="00EF41FB"/>
    <w:rsid w:val="00F01BD9"/>
    <w:rsid w:val="00F04041"/>
    <w:rsid w:val="00F207B5"/>
    <w:rsid w:val="00F242E9"/>
    <w:rsid w:val="00F26C1F"/>
    <w:rsid w:val="00F328FB"/>
    <w:rsid w:val="00F37C6D"/>
    <w:rsid w:val="00F424CB"/>
    <w:rsid w:val="00F45195"/>
    <w:rsid w:val="00F50D8E"/>
    <w:rsid w:val="00F523EB"/>
    <w:rsid w:val="00F65BAE"/>
    <w:rsid w:val="00F6738E"/>
    <w:rsid w:val="00F76A70"/>
    <w:rsid w:val="00F80064"/>
    <w:rsid w:val="00F81B35"/>
    <w:rsid w:val="00F84207"/>
    <w:rsid w:val="00F9370B"/>
    <w:rsid w:val="00FA11F8"/>
    <w:rsid w:val="00FB1D55"/>
    <w:rsid w:val="00FB51E3"/>
    <w:rsid w:val="00FB6D64"/>
    <w:rsid w:val="00FC0571"/>
    <w:rsid w:val="00FC0ECC"/>
    <w:rsid w:val="00FC2648"/>
    <w:rsid w:val="00FC3871"/>
    <w:rsid w:val="00FD7809"/>
    <w:rsid w:val="00FE2689"/>
    <w:rsid w:val="00FE76D3"/>
    <w:rsid w:val="00FF05DD"/>
    <w:rsid w:val="00FF0F1A"/>
    <w:rsid w:val="00FF3B21"/>
    <w:rsid w:val="00FF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6</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5</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8</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9</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4</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7</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10</b:RefOrder>
  </b:Source>
</b:Sources>
</file>

<file path=customXml/itemProps1.xml><?xml version="1.0" encoding="utf-8"?>
<ds:datastoreItem xmlns:ds="http://schemas.openxmlformats.org/officeDocument/2006/customXml" ds:itemID="{D560449F-1635-4EA1-8718-3B7AC61FE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10</Pages>
  <Words>4884</Words>
  <Characters>27840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439</cp:revision>
  <dcterms:created xsi:type="dcterms:W3CDTF">2021-01-16T06:44:00Z</dcterms:created>
  <dcterms:modified xsi:type="dcterms:W3CDTF">2022-02-06T13:59:00Z</dcterms:modified>
</cp:coreProperties>
</file>