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4E6656"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4E6656"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4E6656"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4E6656"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4E6656"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4E6656"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4E6656"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r w:rsidRPr="008C429E">
        <w:rPr>
          <w:i/>
          <w:iCs/>
        </w:rPr>
        <w:t>t</w:t>
      </w:r>
      <w:r w:rsidRPr="008C429E">
        <w:rPr>
          <w:vertAlign w:val="superscript"/>
        </w:rPr>
        <w:t>th</w:t>
      </w:r>
      <w:r>
        <w:t xml:space="preserve"> iteration (the </w:t>
      </w:r>
      <w:r w:rsidRPr="008C429E">
        <w:rPr>
          <w:i/>
          <w:iCs/>
        </w:rPr>
        <w:t>t</w:t>
      </w:r>
      <w:r w:rsidRPr="008C429E">
        <w:rPr>
          <w:vertAlign w:val="superscript"/>
        </w:rPr>
        <w:t>th</w:t>
      </w:r>
      <w:r>
        <w:t xml:space="preserve"> time), equation 1.1 and equation 1.2 are denoted as follows:</w:t>
      </w:r>
    </w:p>
    <w:p w14:paraId="53476A68" w14:textId="035F264C" w:rsidR="008C429E" w:rsidRPr="002044E6" w:rsidRDefault="004E6656"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4E6656"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4E6656"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4E665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4E6656"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4E6656"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4E6656"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Quan-Ke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r w:rsidR="008E3D44" w:rsidRPr="00B616AD">
        <w:rPr>
          <w:b/>
          <w:bCs/>
          <w:i/>
          <w:iCs/>
        </w:rPr>
        <w:t>x</w:t>
      </w:r>
      <w:r w:rsidR="008E3D44" w:rsidRPr="00B616AD">
        <w:rPr>
          <w:i/>
          <w:iCs/>
          <w:vertAlign w:val="subscript"/>
        </w:rPr>
        <w:t>j</w:t>
      </w:r>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r w:rsidR="00BC5735" w:rsidRPr="00BC5735">
        <w:rPr>
          <w:rFonts w:eastAsiaTheme="minorEastAsia" w:cs="Times New Roman"/>
          <w:i/>
          <w:iCs/>
        </w:rPr>
        <w:t>x</w:t>
      </w:r>
      <w:r w:rsidR="00BC5735" w:rsidRPr="00BC5735">
        <w:rPr>
          <w:rFonts w:eastAsiaTheme="minorEastAsia" w:cs="Times New Roman"/>
          <w:i/>
          <w:iCs/>
          <w:vertAlign w:val="subscript"/>
        </w:rPr>
        <w:t>ij</w:t>
      </w:r>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w:t>
      </w:r>
      <w:r w:rsidR="00203A99">
        <w:rPr>
          <w:rFonts w:eastAsiaTheme="minorEastAsia" w:cs="Times New Roman"/>
        </w:rPr>
        <w:t xml:space="preserve">exchange operator </w:t>
      </w:r>
      <w:r w:rsidR="00203A99">
        <w:rPr>
          <w:rFonts w:eastAsiaTheme="minorEastAsia" w:cs="Times New Roman"/>
        </w:rPr>
        <w:t xml:space="preserve">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r w:rsidR="002B3BA7" w:rsidRPr="00BC5735">
        <w:rPr>
          <w:rFonts w:eastAsiaTheme="minorEastAsia" w:cs="Times New Roman"/>
          <w:i/>
          <w:iCs/>
        </w:rPr>
        <w:t>x</w:t>
      </w:r>
      <w:r w:rsidR="002B3BA7" w:rsidRPr="00BC5735">
        <w:rPr>
          <w:rFonts w:eastAsiaTheme="minorEastAsia" w:cs="Times New Roman"/>
          <w:i/>
          <w:iCs/>
          <w:vertAlign w:val="subscript"/>
        </w:rPr>
        <w:t>ij</w:t>
      </w:r>
      <w:r w:rsidR="00BF35C9">
        <w:rPr>
          <w:rFonts w:eastAsiaTheme="minorEastAsia" w:cs="Times New Roman"/>
        </w:rPr>
        <w:t>.</w:t>
      </w:r>
      <w:r w:rsidR="007C651B" w:rsidRPr="007C651B">
        <w:t xml:space="preserve"> </w:t>
      </w:r>
      <w:r w:rsidR="007C651B">
        <w:t>F</w:t>
      </w:r>
      <w:r w:rsidR="007C651B">
        <w:t>igure 2.1.</w:t>
      </w:r>
      <w:r w:rsidR="007C651B">
        <w:t>2</w:t>
      </w:r>
      <w:r w:rsidR="007C651B">
        <w:t xml:space="preserve"> illustrates </w:t>
      </w:r>
      <w:r w:rsidR="007C651B">
        <w:t>one-cut</w:t>
      </w:r>
      <w:r w:rsidR="007C651B">
        <w:t xml:space="preserve"> </w:t>
      </w:r>
      <w:r w:rsidR="007C651B">
        <w:t xml:space="preserve">crossover </w:t>
      </w:r>
      <w:r w:rsidR="007C651B">
        <w:t>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r w:rsidRPr="00BC5735">
        <w:rPr>
          <w:rFonts w:eastAsiaTheme="minorEastAsia" w:cs="Times New Roman"/>
          <w:i/>
          <w:iCs/>
        </w:rPr>
        <w:t>x</w:t>
      </w:r>
      <w:r w:rsidRPr="00BC5735">
        <w:rPr>
          <w:rFonts w:eastAsiaTheme="minorEastAsia" w:cs="Times New Roman"/>
          <w:i/>
          <w:iCs/>
          <w:vertAlign w:val="subscript"/>
        </w:rPr>
        <w:t>ij</w:t>
      </w:r>
      <w:r w:rsidR="00B316A0">
        <w:rPr>
          <w:rFonts w:eastAsiaTheme="minorEastAsia" w:cs="Times New Roman"/>
        </w:rPr>
        <w:t xml:space="preserve">, </w:t>
      </w:r>
      <w:r w:rsidR="00B316A0" w:rsidRPr="00B316A0">
        <w:rPr>
          <w:rFonts w:eastAsiaTheme="minorEastAsia" w:cs="Times New Roman"/>
          <w:i/>
          <w:iCs/>
        </w:rPr>
        <w:t>p</w:t>
      </w:r>
      <w:r w:rsidR="00B316A0" w:rsidRPr="00B316A0">
        <w:rPr>
          <w:rFonts w:eastAsiaTheme="minorEastAsia" w:cs="Times New Roman"/>
          <w:i/>
          <w:iCs/>
          <w:vertAlign w:val="subscript"/>
        </w:rPr>
        <w:t>ij</w:t>
      </w:r>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w:t>
      </w:r>
      <w:r w:rsidR="00EC13BB">
        <w:rPr>
          <w:rFonts w:eastAsiaTheme="minorEastAsia" w:cs="Times New Roman"/>
        </w:rPr>
        <w:t>s</w:t>
      </w:r>
      <w:r w:rsidR="00EC13BB">
        <w:rPr>
          <w:rFonts w:eastAsiaTheme="minorEastAsia" w:cs="Times New Roman"/>
        </w:rPr>
        <w:t xml:space="preserve"> (</w:t>
      </w:r>
      <w:r w:rsidR="00EC13BB" w:rsidRPr="00BC5735">
        <w:rPr>
          <w:rFonts w:eastAsiaTheme="minorEastAsia" w:cs="Times New Roman"/>
          <w:i/>
          <w:iCs/>
        </w:rPr>
        <w:t>x</w:t>
      </w:r>
      <w:r w:rsidR="00EC13BB" w:rsidRPr="00BC5735">
        <w:rPr>
          <w:rFonts w:eastAsiaTheme="minorEastAsia" w:cs="Times New Roman"/>
          <w:i/>
          <w:iCs/>
          <w:vertAlign w:val="subscript"/>
        </w:rPr>
        <w:t>ij</w:t>
      </w:r>
      <w:r w:rsidR="00EC13BB">
        <w:rPr>
          <w:rFonts w:eastAsiaTheme="minorEastAsia" w:cs="Times New Roman"/>
        </w:rPr>
        <w:t xml:space="preserve">, </w:t>
      </w:r>
      <w:r w:rsidR="00EC13BB" w:rsidRPr="00B316A0">
        <w:rPr>
          <w:rFonts w:eastAsiaTheme="minorEastAsia" w:cs="Times New Roman"/>
          <w:i/>
          <w:iCs/>
        </w:rPr>
        <w:t>p</w:t>
      </w:r>
      <w:r w:rsidR="00EC13BB" w:rsidRPr="00B316A0">
        <w:rPr>
          <w:rFonts w:eastAsiaTheme="minorEastAsia" w:cs="Times New Roman"/>
          <w:i/>
          <w:iCs/>
          <w:vertAlign w:val="subscript"/>
        </w:rPr>
        <w:t>ij</w:t>
      </w:r>
      <w:r w:rsidR="00EC13BB">
        <w:rPr>
          <w:rFonts w:eastAsiaTheme="minorEastAsia" w:cs="Times New Roman"/>
        </w:rPr>
        <w:t>)</w:t>
      </w:r>
      <w:r>
        <w:rPr>
          <w:rFonts w:eastAsiaTheme="minorEastAsia" w:cs="Times New Roman"/>
        </w:rPr>
        <w:t>.</w:t>
      </w:r>
      <w:r w:rsidR="00D600A4" w:rsidRPr="00D600A4">
        <w:t xml:space="preserve"> </w:t>
      </w:r>
      <w:r w:rsidR="00D600A4">
        <w:t>Figure 2.1.</w:t>
      </w:r>
      <w:r w:rsidR="00D600A4">
        <w:t>3</w:t>
      </w:r>
      <w:r w:rsidR="00D600A4">
        <w:t xml:space="preserve"> illustrates </w:t>
      </w:r>
      <w:r w:rsidR="00D600A4">
        <w:t>two</w:t>
      </w:r>
      <w:r w:rsidR="00D600A4">
        <w:t>-cut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w:t>
      </w:r>
      <w:r>
        <w:t>two</w:t>
      </w:r>
      <w:r>
        <w:t>-cut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r w:rsidRPr="00DA6699">
        <w:rPr>
          <w:b/>
          <w:bCs/>
          <w:i/>
          <w:iCs/>
        </w:rPr>
        <w:t>p</w:t>
      </w:r>
      <w:r w:rsidR="004B1D3B">
        <w:rPr>
          <w:i/>
          <w:iCs/>
          <w:vertAlign w:val="subscript"/>
        </w:rPr>
        <w:t>g</w:t>
      </w:r>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4B1D3B">
        <w:rPr>
          <w:rFonts w:eastAsiaTheme="minorEastAsia" w:cs="Times New Roman"/>
          <w:i/>
          <w:iCs/>
          <w:vertAlign w:val="subscript"/>
        </w:rPr>
        <w:t>g</w:t>
      </w:r>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79156F">
        <w:rPr>
          <w:rFonts w:eastAsiaTheme="minorEastAsia" w:cs="Times New Roman"/>
          <w:i/>
          <w:iCs/>
          <w:vertAlign w:val="subscript"/>
        </w:rPr>
        <w:t>g</w:t>
      </w:r>
      <w:r>
        <w:rPr>
          <w:rFonts w:eastAsiaTheme="minorEastAsia" w:cs="Times New Roman"/>
        </w:rPr>
        <w:t xml:space="preserve"> are browsed pair by pair, at each pair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r w:rsidR="006E094B" w:rsidRPr="00DA6699">
        <w:rPr>
          <w:b/>
          <w:bCs/>
          <w:i/>
          <w:iCs/>
        </w:rPr>
        <w:t>p</w:t>
      </w:r>
      <w:r w:rsidR="006E094B">
        <w:rPr>
          <w:i/>
          <w:iCs/>
          <w:vertAlign w:val="subscript"/>
        </w:rPr>
        <w:t>g</w:t>
      </w:r>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w:t>
      </w:r>
      <w:r w:rsidR="006E094B">
        <w:rPr>
          <w:rFonts w:eastAsiaTheme="minorEastAsia" w:cs="Times New Roman"/>
        </w:rPr>
        <w:t xml:space="preserve">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Pr>
          <w:i/>
          <w:iCs/>
          <w:vertAlign w:val="subscript"/>
        </w:rPr>
        <w:t>g</w:t>
      </w:r>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D138C7"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w:t>
            </w:r>
            <w:r>
              <w:rPr>
                <w:rFonts w:eastAsiaTheme="minorEastAsia"/>
              </w:rPr>
              <w:t>3</w:t>
            </w:r>
            <w:r>
              <w:rPr>
                <w:rFonts w:eastAsiaTheme="minorEastAsia"/>
              </w:rPr>
              <w:t>)</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586B09"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68D1A74C"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4E6656"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End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r w:rsidR="00C01DE7">
        <w:rPr>
          <w:rFonts w:eastAsiaTheme="minorEastAsia"/>
        </w:rPr>
        <w:t xml:space="preserve">Sugnathan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lastRenderedPageBreak/>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4E6656"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4E6656"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4E6656"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lastRenderedPageBreak/>
        <w:t>3.2. PSO and genetic algorithm</w:t>
      </w:r>
    </w:p>
    <w:p w14:paraId="5C385BE4" w14:textId="4F2AB0DC" w:rsidR="004A1568" w:rsidRDefault="004E6656"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4E6656"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4E6656"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4E6656"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lastRenderedPageBreak/>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3443" w14:textId="77777777" w:rsidR="004E6656" w:rsidRDefault="004E6656" w:rsidP="007E3D59">
      <w:r>
        <w:separator/>
      </w:r>
    </w:p>
  </w:endnote>
  <w:endnote w:type="continuationSeparator" w:id="0">
    <w:p w14:paraId="2EEA0FA4" w14:textId="77777777" w:rsidR="004E6656" w:rsidRDefault="004E6656"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F07A" w14:textId="77777777" w:rsidR="004E6656" w:rsidRDefault="004E6656" w:rsidP="007E3D59">
      <w:r>
        <w:separator/>
      </w:r>
    </w:p>
  </w:footnote>
  <w:footnote w:type="continuationSeparator" w:id="0">
    <w:p w14:paraId="57240708" w14:textId="77777777" w:rsidR="004E6656" w:rsidRDefault="004E6656"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5C94"/>
    <w:rsid w:val="00015730"/>
    <w:rsid w:val="00015CC3"/>
    <w:rsid w:val="00016116"/>
    <w:rsid w:val="00020254"/>
    <w:rsid w:val="000268F6"/>
    <w:rsid w:val="000377C7"/>
    <w:rsid w:val="0004199A"/>
    <w:rsid w:val="0004458C"/>
    <w:rsid w:val="00054B90"/>
    <w:rsid w:val="00061EA8"/>
    <w:rsid w:val="0006391E"/>
    <w:rsid w:val="00072EB2"/>
    <w:rsid w:val="0008556B"/>
    <w:rsid w:val="0009071D"/>
    <w:rsid w:val="000A49AC"/>
    <w:rsid w:val="000A716A"/>
    <w:rsid w:val="000B0A2F"/>
    <w:rsid w:val="000C7FAC"/>
    <w:rsid w:val="000E08E6"/>
    <w:rsid w:val="000E3608"/>
    <w:rsid w:val="000E5FBC"/>
    <w:rsid w:val="000F3C13"/>
    <w:rsid w:val="00127A5C"/>
    <w:rsid w:val="00134661"/>
    <w:rsid w:val="0013742D"/>
    <w:rsid w:val="00140931"/>
    <w:rsid w:val="00141124"/>
    <w:rsid w:val="0014167A"/>
    <w:rsid w:val="00145852"/>
    <w:rsid w:val="0015118C"/>
    <w:rsid w:val="00153C8D"/>
    <w:rsid w:val="001603E3"/>
    <w:rsid w:val="00162A48"/>
    <w:rsid w:val="001775EA"/>
    <w:rsid w:val="00191202"/>
    <w:rsid w:val="00191F44"/>
    <w:rsid w:val="00197281"/>
    <w:rsid w:val="001975A9"/>
    <w:rsid w:val="001C05EE"/>
    <w:rsid w:val="001C2B8F"/>
    <w:rsid w:val="001C7859"/>
    <w:rsid w:val="001F27B6"/>
    <w:rsid w:val="00201190"/>
    <w:rsid w:val="00203A99"/>
    <w:rsid w:val="002044E6"/>
    <w:rsid w:val="00206A8E"/>
    <w:rsid w:val="00210DB5"/>
    <w:rsid w:val="00231513"/>
    <w:rsid w:val="00232D3C"/>
    <w:rsid w:val="00250419"/>
    <w:rsid w:val="002520EA"/>
    <w:rsid w:val="0025743F"/>
    <w:rsid w:val="00267B3D"/>
    <w:rsid w:val="00267F24"/>
    <w:rsid w:val="0027214A"/>
    <w:rsid w:val="00274D23"/>
    <w:rsid w:val="00274D34"/>
    <w:rsid w:val="002763FD"/>
    <w:rsid w:val="00280226"/>
    <w:rsid w:val="0028497D"/>
    <w:rsid w:val="00296A9F"/>
    <w:rsid w:val="002A2A9E"/>
    <w:rsid w:val="002B36E5"/>
    <w:rsid w:val="002B3BA7"/>
    <w:rsid w:val="002C5C5E"/>
    <w:rsid w:val="002E6013"/>
    <w:rsid w:val="002F42AF"/>
    <w:rsid w:val="0030042D"/>
    <w:rsid w:val="00300BE7"/>
    <w:rsid w:val="00301289"/>
    <w:rsid w:val="003027F4"/>
    <w:rsid w:val="003034D6"/>
    <w:rsid w:val="00304B2A"/>
    <w:rsid w:val="0031374E"/>
    <w:rsid w:val="003209F5"/>
    <w:rsid w:val="00333092"/>
    <w:rsid w:val="00336453"/>
    <w:rsid w:val="00355E15"/>
    <w:rsid w:val="003578FB"/>
    <w:rsid w:val="00360C1D"/>
    <w:rsid w:val="00366B41"/>
    <w:rsid w:val="00367500"/>
    <w:rsid w:val="00374C82"/>
    <w:rsid w:val="00380BF0"/>
    <w:rsid w:val="0038657A"/>
    <w:rsid w:val="003966EB"/>
    <w:rsid w:val="003A474B"/>
    <w:rsid w:val="003B7B3C"/>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573D0"/>
    <w:rsid w:val="0046236D"/>
    <w:rsid w:val="004631F8"/>
    <w:rsid w:val="0048060D"/>
    <w:rsid w:val="00490473"/>
    <w:rsid w:val="00491BE5"/>
    <w:rsid w:val="00492AFC"/>
    <w:rsid w:val="004A1568"/>
    <w:rsid w:val="004A51C2"/>
    <w:rsid w:val="004B1D3B"/>
    <w:rsid w:val="004B5CF6"/>
    <w:rsid w:val="004C047A"/>
    <w:rsid w:val="004C26B0"/>
    <w:rsid w:val="004C31BB"/>
    <w:rsid w:val="004C3AB3"/>
    <w:rsid w:val="004C4E81"/>
    <w:rsid w:val="004C5C82"/>
    <w:rsid w:val="004D246F"/>
    <w:rsid w:val="004E6656"/>
    <w:rsid w:val="004E7224"/>
    <w:rsid w:val="004F17EB"/>
    <w:rsid w:val="004F6E71"/>
    <w:rsid w:val="00500DDD"/>
    <w:rsid w:val="00513FEC"/>
    <w:rsid w:val="00524245"/>
    <w:rsid w:val="0053059C"/>
    <w:rsid w:val="00540CA9"/>
    <w:rsid w:val="0054211E"/>
    <w:rsid w:val="00542F6D"/>
    <w:rsid w:val="00547625"/>
    <w:rsid w:val="00550E87"/>
    <w:rsid w:val="00552D1B"/>
    <w:rsid w:val="00553904"/>
    <w:rsid w:val="00555137"/>
    <w:rsid w:val="00555790"/>
    <w:rsid w:val="005638C8"/>
    <w:rsid w:val="00563D70"/>
    <w:rsid w:val="00565730"/>
    <w:rsid w:val="00565798"/>
    <w:rsid w:val="00567310"/>
    <w:rsid w:val="00572A1F"/>
    <w:rsid w:val="0057462F"/>
    <w:rsid w:val="00581409"/>
    <w:rsid w:val="00586B09"/>
    <w:rsid w:val="00590719"/>
    <w:rsid w:val="00593E4F"/>
    <w:rsid w:val="00595DD0"/>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22F03"/>
    <w:rsid w:val="00642765"/>
    <w:rsid w:val="00642BF6"/>
    <w:rsid w:val="00650488"/>
    <w:rsid w:val="00651D5F"/>
    <w:rsid w:val="00662A2F"/>
    <w:rsid w:val="00663AB7"/>
    <w:rsid w:val="00682380"/>
    <w:rsid w:val="00683229"/>
    <w:rsid w:val="00686923"/>
    <w:rsid w:val="00691F77"/>
    <w:rsid w:val="00694FF9"/>
    <w:rsid w:val="00696922"/>
    <w:rsid w:val="006A695D"/>
    <w:rsid w:val="006B5CA9"/>
    <w:rsid w:val="006C55D1"/>
    <w:rsid w:val="006D5B90"/>
    <w:rsid w:val="006E094B"/>
    <w:rsid w:val="006E7CA9"/>
    <w:rsid w:val="006F2BAF"/>
    <w:rsid w:val="006F4D93"/>
    <w:rsid w:val="007041E2"/>
    <w:rsid w:val="007077AE"/>
    <w:rsid w:val="0071182D"/>
    <w:rsid w:val="0071500A"/>
    <w:rsid w:val="0072171E"/>
    <w:rsid w:val="00721986"/>
    <w:rsid w:val="007330EE"/>
    <w:rsid w:val="00733844"/>
    <w:rsid w:val="007375B5"/>
    <w:rsid w:val="00740175"/>
    <w:rsid w:val="007401A5"/>
    <w:rsid w:val="0074025E"/>
    <w:rsid w:val="00753B9E"/>
    <w:rsid w:val="0076418E"/>
    <w:rsid w:val="007653AF"/>
    <w:rsid w:val="0077568B"/>
    <w:rsid w:val="0078352B"/>
    <w:rsid w:val="007845D0"/>
    <w:rsid w:val="00785800"/>
    <w:rsid w:val="00790251"/>
    <w:rsid w:val="0079156F"/>
    <w:rsid w:val="007A4E06"/>
    <w:rsid w:val="007A6165"/>
    <w:rsid w:val="007B5340"/>
    <w:rsid w:val="007B6B9E"/>
    <w:rsid w:val="007C271B"/>
    <w:rsid w:val="007C58CF"/>
    <w:rsid w:val="007C5AFE"/>
    <w:rsid w:val="007C651B"/>
    <w:rsid w:val="007E3D59"/>
    <w:rsid w:val="007F1F80"/>
    <w:rsid w:val="00801D49"/>
    <w:rsid w:val="00823592"/>
    <w:rsid w:val="008259C3"/>
    <w:rsid w:val="00836DF8"/>
    <w:rsid w:val="00836ED7"/>
    <w:rsid w:val="00854DB5"/>
    <w:rsid w:val="00861935"/>
    <w:rsid w:val="00863B92"/>
    <w:rsid w:val="00870ABF"/>
    <w:rsid w:val="00872F60"/>
    <w:rsid w:val="00886AEF"/>
    <w:rsid w:val="00891458"/>
    <w:rsid w:val="00896342"/>
    <w:rsid w:val="008A66CA"/>
    <w:rsid w:val="008B19EB"/>
    <w:rsid w:val="008B2E53"/>
    <w:rsid w:val="008B3946"/>
    <w:rsid w:val="008C34AD"/>
    <w:rsid w:val="008C429E"/>
    <w:rsid w:val="008C6349"/>
    <w:rsid w:val="008E06AB"/>
    <w:rsid w:val="008E3D44"/>
    <w:rsid w:val="008E579F"/>
    <w:rsid w:val="008F1B5C"/>
    <w:rsid w:val="008F5655"/>
    <w:rsid w:val="008F699C"/>
    <w:rsid w:val="009001CE"/>
    <w:rsid w:val="00900E20"/>
    <w:rsid w:val="00902832"/>
    <w:rsid w:val="00902DE6"/>
    <w:rsid w:val="009109AD"/>
    <w:rsid w:val="00913065"/>
    <w:rsid w:val="00937976"/>
    <w:rsid w:val="009602BB"/>
    <w:rsid w:val="009629FA"/>
    <w:rsid w:val="00973A9F"/>
    <w:rsid w:val="00983542"/>
    <w:rsid w:val="009919B4"/>
    <w:rsid w:val="00992B3B"/>
    <w:rsid w:val="009A7F95"/>
    <w:rsid w:val="009B2568"/>
    <w:rsid w:val="009B2932"/>
    <w:rsid w:val="009C5E47"/>
    <w:rsid w:val="009C795A"/>
    <w:rsid w:val="009D5E39"/>
    <w:rsid w:val="009E3F2E"/>
    <w:rsid w:val="009E5AE9"/>
    <w:rsid w:val="009F4AB8"/>
    <w:rsid w:val="00A12936"/>
    <w:rsid w:val="00A155FA"/>
    <w:rsid w:val="00A23E99"/>
    <w:rsid w:val="00A27DF1"/>
    <w:rsid w:val="00A34F6A"/>
    <w:rsid w:val="00A40961"/>
    <w:rsid w:val="00A4409E"/>
    <w:rsid w:val="00A4548A"/>
    <w:rsid w:val="00A47EA3"/>
    <w:rsid w:val="00A52FB2"/>
    <w:rsid w:val="00A536CF"/>
    <w:rsid w:val="00A553C5"/>
    <w:rsid w:val="00A634FC"/>
    <w:rsid w:val="00A65DAB"/>
    <w:rsid w:val="00A6621D"/>
    <w:rsid w:val="00A7055A"/>
    <w:rsid w:val="00A712B0"/>
    <w:rsid w:val="00A72CA2"/>
    <w:rsid w:val="00A82F8D"/>
    <w:rsid w:val="00A8412A"/>
    <w:rsid w:val="00AA0531"/>
    <w:rsid w:val="00AA2124"/>
    <w:rsid w:val="00AA3C59"/>
    <w:rsid w:val="00AB4EB9"/>
    <w:rsid w:val="00AC0E01"/>
    <w:rsid w:val="00AC3841"/>
    <w:rsid w:val="00AC4B53"/>
    <w:rsid w:val="00AD36BF"/>
    <w:rsid w:val="00AD5E53"/>
    <w:rsid w:val="00AF060B"/>
    <w:rsid w:val="00AF215B"/>
    <w:rsid w:val="00AF21F0"/>
    <w:rsid w:val="00B0581A"/>
    <w:rsid w:val="00B1072E"/>
    <w:rsid w:val="00B214D7"/>
    <w:rsid w:val="00B316A0"/>
    <w:rsid w:val="00B31CD3"/>
    <w:rsid w:val="00B35C26"/>
    <w:rsid w:val="00B44E31"/>
    <w:rsid w:val="00B532A4"/>
    <w:rsid w:val="00B616AD"/>
    <w:rsid w:val="00B62A44"/>
    <w:rsid w:val="00B66FC5"/>
    <w:rsid w:val="00B74064"/>
    <w:rsid w:val="00B74C4D"/>
    <w:rsid w:val="00B77FF1"/>
    <w:rsid w:val="00B807D6"/>
    <w:rsid w:val="00B87879"/>
    <w:rsid w:val="00B91FD8"/>
    <w:rsid w:val="00BA24BB"/>
    <w:rsid w:val="00BA56A6"/>
    <w:rsid w:val="00BC141B"/>
    <w:rsid w:val="00BC5593"/>
    <w:rsid w:val="00BC5735"/>
    <w:rsid w:val="00BD2618"/>
    <w:rsid w:val="00BE0F7C"/>
    <w:rsid w:val="00BE2708"/>
    <w:rsid w:val="00BE2994"/>
    <w:rsid w:val="00BF2B4D"/>
    <w:rsid w:val="00BF35C9"/>
    <w:rsid w:val="00C01DE7"/>
    <w:rsid w:val="00C01E03"/>
    <w:rsid w:val="00C032AA"/>
    <w:rsid w:val="00C11B6B"/>
    <w:rsid w:val="00C1741E"/>
    <w:rsid w:val="00C32ACC"/>
    <w:rsid w:val="00C50A54"/>
    <w:rsid w:val="00C53FF4"/>
    <w:rsid w:val="00C604D2"/>
    <w:rsid w:val="00C92200"/>
    <w:rsid w:val="00C94209"/>
    <w:rsid w:val="00CA1217"/>
    <w:rsid w:val="00CA1891"/>
    <w:rsid w:val="00CA7277"/>
    <w:rsid w:val="00CB398D"/>
    <w:rsid w:val="00CB742D"/>
    <w:rsid w:val="00CC78E9"/>
    <w:rsid w:val="00CD606F"/>
    <w:rsid w:val="00CE1904"/>
    <w:rsid w:val="00CE3D55"/>
    <w:rsid w:val="00D0499D"/>
    <w:rsid w:val="00D138C7"/>
    <w:rsid w:val="00D1455E"/>
    <w:rsid w:val="00D30741"/>
    <w:rsid w:val="00D30ECE"/>
    <w:rsid w:val="00D35A7C"/>
    <w:rsid w:val="00D475C2"/>
    <w:rsid w:val="00D600A4"/>
    <w:rsid w:val="00D65F3F"/>
    <w:rsid w:val="00D73D0C"/>
    <w:rsid w:val="00D76605"/>
    <w:rsid w:val="00D9408D"/>
    <w:rsid w:val="00D96474"/>
    <w:rsid w:val="00D9768A"/>
    <w:rsid w:val="00DA21D7"/>
    <w:rsid w:val="00DA6699"/>
    <w:rsid w:val="00DB077A"/>
    <w:rsid w:val="00DC3EE5"/>
    <w:rsid w:val="00DD067A"/>
    <w:rsid w:val="00DD0C88"/>
    <w:rsid w:val="00DD3C36"/>
    <w:rsid w:val="00DD43C5"/>
    <w:rsid w:val="00DE50AB"/>
    <w:rsid w:val="00DE68C6"/>
    <w:rsid w:val="00E03617"/>
    <w:rsid w:val="00E06853"/>
    <w:rsid w:val="00E12CC7"/>
    <w:rsid w:val="00E24D52"/>
    <w:rsid w:val="00E26866"/>
    <w:rsid w:val="00E34F99"/>
    <w:rsid w:val="00E35407"/>
    <w:rsid w:val="00E41980"/>
    <w:rsid w:val="00E47020"/>
    <w:rsid w:val="00E56666"/>
    <w:rsid w:val="00E63C73"/>
    <w:rsid w:val="00E675D1"/>
    <w:rsid w:val="00E72CDF"/>
    <w:rsid w:val="00E74BD9"/>
    <w:rsid w:val="00E86D50"/>
    <w:rsid w:val="00E97E3C"/>
    <w:rsid w:val="00EA034C"/>
    <w:rsid w:val="00EA077F"/>
    <w:rsid w:val="00EA34F5"/>
    <w:rsid w:val="00EA5683"/>
    <w:rsid w:val="00EA56DB"/>
    <w:rsid w:val="00EB7F09"/>
    <w:rsid w:val="00EC0561"/>
    <w:rsid w:val="00EC11A7"/>
    <w:rsid w:val="00EC13BB"/>
    <w:rsid w:val="00ED01F8"/>
    <w:rsid w:val="00ED4B9F"/>
    <w:rsid w:val="00EE4953"/>
    <w:rsid w:val="00EF11A5"/>
    <w:rsid w:val="00EF34B8"/>
    <w:rsid w:val="00EF41FB"/>
    <w:rsid w:val="00F01BD9"/>
    <w:rsid w:val="00F04041"/>
    <w:rsid w:val="00F207B5"/>
    <w:rsid w:val="00F242E9"/>
    <w:rsid w:val="00F26C1F"/>
    <w:rsid w:val="00F328FB"/>
    <w:rsid w:val="00F37C6D"/>
    <w:rsid w:val="00F424CB"/>
    <w:rsid w:val="00F45195"/>
    <w:rsid w:val="00F50D8E"/>
    <w:rsid w:val="00F523EB"/>
    <w:rsid w:val="00F65BAE"/>
    <w:rsid w:val="00F6738E"/>
    <w:rsid w:val="00F76A70"/>
    <w:rsid w:val="00F80064"/>
    <w:rsid w:val="00F81B35"/>
    <w:rsid w:val="00F9370B"/>
    <w:rsid w:val="00FA11F8"/>
    <w:rsid w:val="00FB1D55"/>
    <w:rsid w:val="00FB51E3"/>
    <w:rsid w:val="00FB6D64"/>
    <w:rsid w:val="00FC0ECC"/>
    <w:rsid w:val="00FC3871"/>
    <w:rsid w:val="00FD7809"/>
    <w:rsid w:val="00FE2689"/>
    <w:rsid w:val="00FE76D3"/>
    <w:rsid w:val="00FF05DD"/>
    <w:rsid w:val="00FF0F1A"/>
    <w:rsid w:val="00FF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8</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7</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s>
</file>

<file path=customXml/itemProps1.xml><?xml version="1.0" encoding="utf-8"?>
<ds:datastoreItem xmlns:ds="http://schemas.openxmlformats.org/officeDocument/2006/customXml" ds:itemID="{4E712095-6ABA-4A28-AC78-8674242F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10</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377</cp:revision>
  <dcterms:created xsi:type="dcterms:W3CDTF">2021-01-16T06:44:00Z</dcterms:created>
  <dcterms:modified xsi:type="dcterms:W3CDTF">2022-02-04T04:02:00Z</dcterms:modified>
</cp:coreProperties>
</file>