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EA1D22"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EA1D22"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EA1D22"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EA1D22"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646FB521" w:rsidR="003F15C5" w:rsidRDefault="003F15C5" w:rsidP="0085561D">
            <w:pPr>
              <w:jc w:val="right"/>
            </w:pPr>
            <w:r>
              <w:t>(2.</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78FDDA6D" w:rsidR="00863474" w:rsidRDefault="00D64967" w:rsidP="00852253">
            <w:pPr>
              <w:jc w:val="right"/>
            </w:pPr>
            <w:r>
              <w:t>(</w:t>
            </w:r>
            <w:r w:rsidR="00737D04">
              <w:t>2.</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PA.</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t>N</w:t>
      </w:r>
      <w:r>
        <w:t>A.</w:t>
      </w:r>
    </w:p>
    <w:p w14:paraId="7DA04483" w14:textId="5A2B4401" w:rsidR="00AC0C83" w:rsidRDefault="00AC0C83" w:rsidP="00AC0C83">
      <w:pPr>
        <w:pStyle w:val="ListParagraph"/>
        <w:numPr>
          <w:ilvl w:val="0"/>
          <w:numId w:val="3"/>
        </w:numPr>
      </w:pPr>
      <w:r>
        <w:lastRenderedPageBreak/>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the predefined set D.</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PO, otherwise item </w:t>
      </w:r>
      <w:r w:rsidRPr="009A48B8">
        <w:rPr>
          <w:i/>
          <w:iCs/>
        </w:rPr>
        <w:t>j</w:t>
      </w:r>
      <w:r>
        <w:t xml:space="preserve"> belongs to the predefined set NO.</w:t>
      </w:r>
    </w:p>
    <w:p w14:paraId="751BE450" w14:textId="5718F815" w:rsidR="00795115" w:rsidRDefault="00795115" w:rsidP="00931AB8">
      <w:r>
        <w:t xml:space="preserve">Liang et al. 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EA1D22"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6031E3F1" w:rsidR="00931AB8" w:rsidRDefault="00D64967" w:rsidP="008F0EF9">
            <w:pPr>
              <w:jc w:val="right"/>
            </w:pPr>
            <w:r>
              <w:t>(</w:t>
            </w:r>
            <w:r w:rsidR="00737D04">
              <w:t>2.</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EA1D22"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EA1D22"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59B592" w:rsidR="005F1CCE" w:rsidRDefault="00D64967" w:rsidP="008F0EF9">
            <w:pPr>
              <w:jc w:val="right"/>
            </w:pPr>
            <w:r>
              <w:t>(</w:t>
            </w:r>
            <w:r w:rsidR="00737D04">
              <w:t>2.</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51EADC4B" w:rsidR="00E52411" w:rsidRDefault="00D64967" w:rsidP="008F0EF9">
            <w:pPr>
              <w:jc w:val="right"/>
            </w:pPr>
            <w:r>
              <w:t>(</w:t>
            </w:r>
            <w:r w:rsidR="00737D04">
              <w:t>2.</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lastRenderedPageBreak/>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EA1D22"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5EA304F5" w:rsidR="00EB2226" w:rsidRDefault="00D64967" w:rsidP="00C81720">
            <w:pPr>
              <w:jc w:val="right"/>
            </w:pPr>
            <w:r>
              <w:t>(</w:t>
            </w:r>
            <w:r w:rsidR="00737D04">
              <w:t>2.</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E83017A" w:rsidR="00D92113" w:rsidRDefault="0004099D" w:rsidP="00C81720">
            <w:pPr>
              <w:jc w:val="right"/>
            </w:pPr>
            <w:r>
              <w:t>(</w:t>
            </w:r>
            <w:r w:rsidR="00737D04">
              <w:t>2.</w:t>
            </w:r>
            <w:r w:rsidR="002B260F">
              <w:t>8</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EA1D22"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66EC0A3C" w:rsidR="00A02E34" w:rsidRDefault="0004099D" w:rsidP="00517745">
            <w:pPr>
              <w:jc w:val="right"/>
            </w:pPr>
            <w:r>
              <w:t>(</w:t>
            </w:r>
            <w:r w:rsidR="00737D04">
              <w:t>2.</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EA1D22"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EA1D22">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6BA4F33B" w:rsidR="004F61E9" w:rsidRDefault="0004099D" w:rsidP="00517745">
            <w:pPr>
              <w:jc w:val="right"/>
            </w:pPr>
            <w:r>
              <w:t>(</w:t>
            </w:r>
            <w:r w:rsidR="00737D04">
              <w:t>2.</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also improved Jaccard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23627108" w:rsidR="00C759C1" w:rsidRDefault="00C759C1" w:rsidP="0009370A">
            <w:pPr>
              <w:jc w:val="right"/>
            </w:pPr>
            <w:r>
              <w:t>(2.11)</w:t>
            </w:r>
          </w:p>
        </w:tc>
      </w:tr>
    </w:tbl>
    <w:p w14:paraId="4E4EA4F2" w14:textId="77777777" w:rsidR="00E304A1" w:rsidRDefault="00E304A1" w:rsidP="00E304A1">
      <w:r>
        <w:t xml:space="preserve">Percentage of Non-Common Ratings (PNCR) is defined as follows </w:t>
      </w:r>
      <w:sdt>
        <w:sdtPr>
          <w:id w:val="-1594393277"/>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B068D7">
        <w:tc>
          <w:tcPr>
            <w:tcW w:w="8230" w:type="dxa"/>
          </w:tcPr>
          <w:p w14:paraId="3A1AAFCE" w14:textId="77777777" w:rsidR="00E304A1" w:rsidRPr="00EE571B" w:rsidRDefault="00E304A1" w:rsidP="00B068D7">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2D8C5A70" w:rsidR="00E304A1" w:rsidRPr="00C0265B" w:rsidRDefault="00E304A1" w:rsidP="00B068D7">
            <w:pPr>
              <w:jc w:val="right"/>
              <w:rPr>
                <w:rFonts w:eastAsiaTheme="minorEastAsia"/>
                <w:szCs w:val="24"/>
              </w:rPr>
            </w:pPr>
            <w:r>
              <w:rPr>
                <w:rFonts w:eastAsiaTheme="minorEastAsia"/>
                <w:szCs w:val="24"/>
              </w:rPr>
              <w:t>(2.12)</w:t>
            </w:r>
          </w:p>
        </w:tc>
      </w:tr>
    </w:tbl>
    <w:p w14:paraId="6E374C12" w14:textId="77777777" w:rsidR="00E70C48" w:rsidRDefault="00E304A1" w:rsidP="00E304A1">
      <w:r>
        <w:lastRenderedPageBreak/>
        <w:t>Note, |</w:t>
      </w:r>
      <w:r w:rsidRPr="00AD064B">
        <w:rPr>
          <w:b/>
          <w:bCs/>
          <w:i/>
          <w:iCs/>
        </w:rPr>
        <w:t>V</w:t>
      </w:r>
      <w:r>
        <w:t>| is the number of all items.</w:t>
      </w:r>
    </w:p>
    <w:p w14:paraId="0BE4571A" w14:textId="1F92F2A1" w:rsidR="00E304A1" w:rsidRPr="00925817" w:rsidRDefault="008B2EA8" w:rsidP="00E70C48">
      <w:pPr>
        <w:ind w:firstLine="360"/>
        <w:rPr>
          <w:highlight w:val="yellow"/>
        </w:rPr>
      </w:pPr>
      <w:r w:rsidRPr="00925817">
        <w:rPr>
          <w:highlight w:val="yellow"/>
        </w:rPr>
        <w:t xml:space="preserve">Sun, Chen, and Yu </w:t>
      </w:r>
      <w:sdt>
        <w:sdtPr>
          <w:rPr>
            <w:highlight w:val="yellow"/>
          </w:rPr>
          <w:id w:val="448054028"/>
          <w:citation/>
        </w:sdtPr>
        <w:sdtContent>
          <w:r w:rsidR="00DC7AFA">
            <w:rPr>
              <w:highlight w:val="yellow"/>
            </w:rPr>
            <w:fldChar w:fldCharType="begin"/>
          </w:r>
          <w:r w:rsidR="00DC7AFA">
            <w:rPr>
              <w:highlight w:val="yellow"/>
            </w:rPr>
            <w:instrText xml:space="preserve"> CITATION AlShamri21JacHT \l 1033 </w:instrText>
          </w:r>
          <w:r w:rsidR="00DC7AFA">
            <w:rPr>
              <w:highlight w:val="yellow"/>
            </w:rPr>
            <w:fldChar w:fldCharType="separate"/>
          </w:r>
          <w:r w:rsidR="00DC7AFA" w:rsidRPr="00DC7AFA">
            <w:rPr>
              <w:noProof/>
              <w:highlight w:val="yellow"/>
            </w:rPr>
            <w:t>(Al</w:t>
          </w:r>
          <w:r w:rsidR="00DC7AFA" w:rsidRPr="00DC7AFA">
            <w:rPr>
              <w:noProof/>
              <w:highlight w:val="yellow"/>
            </w:rPr>
            <w:noBreakHyphen/>
            <w:t>Shamri, 2021)</w:t>
          </w:r>
          <w:r w:rsidR="00DC7AFA">
            <w:rPr>
              <w:highlight w:val="yellow"/>
            </w:rPr>
            <w:fldChar w:fldCharType="end"/>
          </w:r>
        </w:sdtContent>
      </w:sdt>
      <w:r w:rsidR="00DC7AFA">
        <w:rPr>
          <w:highlight w:val="yellow"/>
        </w:rPr>
        <w:t xml:space="preserve"> </w:t>
      </w:r>
      <w:r w:rsidRPr="00925817">
        <w:rPr>
          <w:highlight w:val="yellow"/>
        </w:rPr>
        <w:t xml:space="preserve">applied </w:t>
      </w:r>
      <w:r w:rsidRPr="00925817">
        <w:rPr>
          <w:highlight w:val="yellow"/>
        </w:rPr>
        <w:t>hyperbolic tangent function</w:t>
      </w:r>
      <w:r w:rsidRPr="00925817">
        <w:rPr>
          <w:highlight w:val="yellow"/>
        </w:rPr>
        <w:t xml:space="preserve"> into improving Jaccard measure as follows:</w:t>
      </w:r>
    </w:p>
    <w:p w14:paraId="36623326" w14:textId="4BE235D2" w:rsidR="008B2EA8" w:rsidRDefault="00C720F2" w:rsidP="00E304A1">
      <m:oMathPara>
        <m:oMath>
          <m:r>
            <m:rPr>
              <m:sty m:val="p"/>
            </m:rPr>
            <w:rPr>
              <w:rFonts w:ascii="Cambria Math" w:hAnsi="Cambria Math"/>
              <w:highlight w:val="yellow"/>
            </w:rPr>
            <m:t>JacHT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51EE34AB" w14:textId="77777777" w:rsidR="00E304A1" w:rsidRDefault="00E304A1"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EA1D22"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04709AE" w:rsidR="00405B32" w:rsidRPr="002B3307" w:rsidRDefault="00EA1D22" w:rsidP="00BE0BB3">
            <m:oMathPara>
              <m:oMath>
                <m:func>
                  <m:funcPr>
                    <m:ctrlPr>
                      <w:rPr>
                        <w:rFonts w:ascii="Cambria Math" w:hAnsi="Cambria Math"/>
                        <w:i/>
                      </w:rPr>
                    </m:ctrlPr>
                  </m:funcPr>
                  <m:fName>
                    <m:r>
                      <m:rPr>
                        <m:sty m:val="p"/>
                      </m:rPr>
                      <w:rPr>
                        <w:rFonts w:ascii="Cambria Math" w:hAnsi="Cambria Math"/>
                      </w:rPr>
                      <m:t>NNSM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EA1D22"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EA1D22"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EA1D22"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EA1D22"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01C3CFE6" w:rsidR="00FB0527" w:rsidRPr="00FB0527" w:rsidRDefault="00531C69" w:rsidP="00E55D2B">
      <w:pPr>
        <w:pStyle w:val="Heading1"/>
      </w:pPr>
      <w:r>
        <w:lastRenderedPageBreak/>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EA1D22"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EA1D22"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EA1D22"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EA1D22"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EA1D22"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EA1D22"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EA1D22"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EA1D22"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EA1D22"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EA1D22"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EA1D22"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93D42D6" w:rsidR="00E81BAF" w:rsidRDefault="00A7094C" w:rsidP="00852253">
            <w:pPr>
              <w:jc w:val="right"/>
            </w:pPr>
            <w:r>
              <w:t>(</w:t>
            </w:r>
            <w:r w:rsidR="00737D04">
              <w:t>4.</w:t>
            </w:r>
            <w:r w:rsidR="00666628">
              <w:t>7</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EA1D22"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40B8B951" w:rsidR="002A4375" w:rsidRDefault="00A7094C" w:rsidP="00852253">
            <w:pPr>
              <w:jc w:val="right"/>
            </w:pPr>
            <w:r>
              <w:t>(</w:t>
            </w:r>
            <w:r w:rsidR="00737D04">
              <w:t>4.</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EA1D22"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lastRenderedPageBreak/>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EA1D22"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EA1D22"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EA1D22"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w:lastRenderedPageBreak/>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6F2524D2" w:rsidR="006F5A35" w:rsidRPr="006A2353" w:rsidRDefault="006F5A35" w:rsidP="00852253">
            <m:oMathPara>
              <m:oMath>
                <m:r>
                  <m:rPr>
                    <m:sty m:val="p"/>
                  </m:rPr>
                  <w:rPr>
                    <w:rFonts w:ascii="Cambria Math" w:hAnsi="Cambria Math"/>
                  </w:rPr>
                  <m:t>BC</m:t>
                </m:r>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F027483" w:rsidR="006F5A35" w:rsidRPr="00E94A67" w:rsidRDefault="006F5A35" w:rsidP="00852253">
            <w:pPr>
              <w:rPr>
                <w:rFonts w:eastAsiaTheme="minorEastAsia"/>
              </w:rPr>
            </w:pPr>
            <m:oMathPara>
              <m:oMath>
                <m:r>
                  <m:rPr>
                    <m:sty m:val="p"/>
                  </m:rPr>
                  <w:rPr>
                    <w:rFonts w:ascii="Cambria Math" w:hAnsi="Cambria Math"/>
                  </w:rPr>
                  <m:t>BCF</m:t>
                </m:r>
                <m:r>
                  <m:rPr>
                    <m:sty m:val="p"/>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6B42F9DF" w:rsidR="00456370" w:rsidRPr="0012069E" w:rsidRDefault="006C4C67" w:rsidP="00456370">
      <w:pPr>
        <w:rPr>
          <w:highlight w:val="yellow"/>
        </w:rPr>
      </w:pPr>
      <w:r w:rsidRPr="0012069E">
        <w:rPr>
          <w:highlight w:val="yellow"/>
        </w:rPr>
        <w:t xml:space="preserve">Singh et al. </w:t>
      </w:r>
      <w:sdt>
        <w:sdtPr>
          <w:rPr>
            <w:highlight w:val="yellow"/>
          </w:rPr>
          <w:id w:val="1798868934"/>
          <w:citation/>
        </w:sdtPr>
        <w:sdtContent>
          <w:r w:rsidR="00237A57">
            <w:rPr>
              <w:highlight w:val="yellow"/>
            </w:rPr>
            <w:fldChar w:fldCharType="begin"/>
          </w:r>
          <w:r w:rsidR="00237A57">
            <w:rPr>
              <w:highlight w:val="yellow"/>
            </w:rPr>
            <w:instrText xml:space="preserve"> CITATION Singh22BCFJ2 \l 1033 </w:instrText>
          </w:r>
          <w:r w:rsidR="00237A57">
            <w:rPr>
              <w:highlight w:val="yellow"/>
            </w:rPr>
            <w:fldChar w:fldCharType="separate"/>
          </w:r>
          <w:r w:rsidR="00237A57" w:rsidRPr="00237A57">
            <w:rPr>
              <w:noProof/>
              <w:highlight w:val="yellow"/>
            </w:rPr>
            <w:t>(Singh, Sinha, &amp; Choudhury, 2022)</w:t>
          </w:r>
          <w:r w:rsidR="00237A57">
            <w:rPr>
              <w:highlight w:val="yellow"/>
            </w:rPr>
            <w:fldChar w:fldCharType="end"/>
          </w:r>
        </w:sdtContent>
      </w:sdt>
      <w:r w:rsidR="00237A57">
        <w:rPr>
          <w:highlight w:val="yellow"/>
        </w:rPr>
        <w:t xml:space="preserve"> </w:t>
      </w:r>
      <w:r w:rsidRPr="0012069E">
        <w:rPr>
          <w:highlight w:val="yellow"/>
        </w:rPr>
        <w:t>improved BCF measure as follows:</w:t>
      </w:r>
    </w:p>
    <w:p w14:paraId="216917A6" w14:textId="27C4A651" w:rsidR="006C4C67" w:rsidRDefault="00772A9C" w:rsidP="00456370">
      <m:oMathPara>
        <m:oMath>
          <m:r>
            <m:rPr>
              <m:sty m:val="p"/>
            </m:rPr>
            <w:rPr>
              <w:rFonts w:ascii="Cambria Math" w:hAnsi="Cambria Math"/>
              <w:highlight w:val="yellow"/>
            </w:rPr>
            <m:t>BCF</m:t>
          </m:r>
          <m:r>
            <m:rPr>
              <m:sty m:val="p"/>
            </m:rPr>
            <w:rPr>
              <w:rFonts w:ascii="Cambria Math" w:hAnsi="Cambria Math"/>
              <w:highlight w:val="yellow"/>
            </w:rPr>
            <m:t>J2</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2</m:t>
                  </m:r>
                </m:sub>
              </m:sSub>
            </m:e>
          </m:d>
          <m:r>
            <w:rPr>
              <w:rFonts w:ascii="Cambria Math" w:hAnsi="Cambria Math"/>
              <w:highlight w:val="yellow"/>
            </w:rPr>
            <m:t>=</m:t>
          </m:r>
        </m:oMath>
      </m:oMathPara>
    </w:p>
    <w:p w14:paraId="715D5F94" w14:textId="77777777" w:rsidR="006C4C67" w:rsidRDefault="006C4C67"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w:t>
      </w:r>
      <w:r>
        <w:lastRenderedPageBreak/>
        <w:t xml:space="preserve">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EA1D22"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lastRenderedPageBreak/>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EA1D22"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EA1D22"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EA1D22"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EA1D22"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lastRenderedPageBreak/>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51A6FFA3" w14:textId="7777777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p w14:paraId="0EAA015C" w14:textId="77777777" w:rsidR="00FC4094" w:rsidRDefault="00FC4094" w:rsidP="00FC4094">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2B02E48A" w14:textId="77777777" w:rsidR="00FC4094" w:rsidRDefault="00FC4094" w:rsidP="00FC4094">
      <w:r>
        <w:t>Note, notation “\” denotes complement operator in set theory. Similarly, following ideology of term frequency (TF), we define a so-called quasi-TF as follows:</w:t>
      </w:r>
    </w:p>
    <w:p w14:paraId="29064BDD" w14:textId="77777777" w:rsidR="00FC4094" w:rsidRDefault="00FC4094" w:rsidP="00FC4094">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5C3A0B7" w14:textId="20DE6469" w:rsidR="00FC4094" w:rsidRDefault="00FC4094" w:rsidP="00FC4094">
      <w:r>
        <w:t>Note, notation “</w:t>
      </w:r>
      <m:oMath>
        <m:r>
          <w:rPr>
            <w:rFonts w:ascii="Cambria Math" w:hAnsi="Cambria Math"/>
          </w:rPr>
          <m:t>∩</m:t>
        </m:r>
      </m:oMath>
      <w:r>
        <w:t>” denotes intersection operator in set theory. The new measure called quasi-TF-IDF (QTI) is product of the quasi-TF and the quasi-IDF, according to equation 15.5.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1C26A0">
            <m:oMathPara>
              <m:oMath>
                <m:r>
                  <m:rPr>
                    <m:sty m:val="p"/>
                  </m:rPr>
                  <w:rPr>
                    <w:rFonts w:ascii="Cambria Math" w:hAnsi="Cambria Math"/>
                  </w:rPr>
                  <w:lastRenderedPageBreak/>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440FF211" w:rsidR="00FC4094" w:rsidRDefault="00FC4094" w:rsidP="001C26A0">
            <w:pPr>
              <w:jc w:val="right"/>
            </w:pPr>
            <w:r w:rsidRPr="0049366D">
              <w:t>(15.5)</w:t>
            </w:r>
          </w:p>
        </w:tc>
      </w:tr>
    </w:tbl>
    <w:p w14:paraId="0CC9F198" w14:textId="77777777" w:rsidR="00FC4094" w:rsidRDefault="00FC4094"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3EFB23E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16.1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EA1D22"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EA1D22"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EA1D22"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EA1D22"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EA1D22"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EA1D22"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EA1D22"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EA1D22"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EA1D22"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 xml:space="preserve">(Deng, et </w:t>
          </w:r>
          <w:r w:rsidR="00282D8E">
            <w:rPr>
              <w:noProof/>
            </w:rPr>
            <w:lastRenderedPageBreak/>
            <w:t>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EA1D22"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EA1D22"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EA1D22"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EA1D22"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EA1D22"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lastRenderedPageBreak/>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EA1D22"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EA1D22"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w:t>
      </w:r>
      <w:proofErr w:type="gramStart"/>
      <w:r>
        <w:t>Tan</w:t>
      </w:r>
      <w:proofErr w:type="gramEnd"/>
      <w:r>
        <w:t xml:space="preserve">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w:t>
      </w:r>
      <w:r w:rsidR="00B21543">
        <w:lastRenderedPageBreak/>
        <w:t xml:space="preserve">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EA1D22"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EA1D22"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EA1D22"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EA1D22"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w:t>
      </w:r>
      <w:r w:rsidR="00025C43">
        <w:lastRenderedPageBreak/>
        <w:t xml:space="preserve">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EA1D22"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EA1D22"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4D57AD" w:rsidRDefault="009F79E1" w:rsidP="009F79E1">
      <w:pPr>
        <w:pStyle w:val="Heading1"/>
        <w:rPr>
          <w:highlight w:val="yellow"/>
        </w:rPr>
      </w:pPr>
      <w:r w:rsidRPr="004D57AD">
        <w:rPr>
          <w:highlight w:val="yellow"/>
        </w:rPr>
        <w:t>27. STB</w:t>
      </w:r>
    </w:p>
    <w:p w14:paraId="46965B8B" w14:textId="7088D24C" w:rsidR="009F79E1" w:rsidRDefault="00783FB8" w:rsidP="00236CE4">
      <w:r w:rsidRPr="004D57AD">
        <w:rPr>
          <w:highlight w:val="yellow"/>
        </w:rPr>
        <w:t>Amer proposed STB measure which is defined as follows:</w:t>
      </w:r>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End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B068D7">
        <w:tc>
          <w:tcPr>
            <w:tcW w:w="8774" w:type="dxa"/>
          </w:tcPr>
          <w:p w14:paraId="7E4521D6" w14:textId="77777777" w:rsidR="00464B77" w:rsidRPr="008D6EC7" w:rsidRDefault="00EA1D22" w:rsidP="00B068D7">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B068D7">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EA1D22"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End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EA1D22"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B068D7">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7FA57E05" w:rsidR="00C96270" w:rsidRPr="00C0265B" w:rsidRDefault="00C96270" w:rsidP="00B068D7">
            <w:pPr>
              <w:jc w:val="right"/>
              <w:rPr>
                <w:rFonts w:eastAsiaTheme="minorEastAsia"/>
                <w:szCs w:val="24"/>
              </w:rPr>
            </w:pPr>
            <w:r>
              <w:rPr>
                <w:rFonts w:eastAsiaTheme="minorEastAsia"/>
                <w:szCs w:val="24"/>
              </w:rPr>
              <w:t>(</w:t>
            </w:r>
            <w:r w:rsidR="00060EA4">
              <w:rPr>
                <w:rFonts w:eastAsiaTheme="minorEastAsia"/>
                <w:szCs w:val="24"/>
              </w:rPr>
              <w:t>30</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C2FFEE7" w:rsidR="0049345D" w:rsidRPr="004D57AD" w:rsidRDefault="0049345D" w:rsidP="0049345D">
      <w:pPr>
        <w:pStyle w:val="Heading1"/>
        <w:rPr>
          <w:highlight w:val="yellow"/>
        </w:rPr>
      </w:pPr>
      <w:r w:rsidRPr="004D57AD">
        <w:rPr>
          <w:highlight w:val="yellow"/>
        </w:rPr>
        <w:t>30</w:t>
      </w:r>
      <w:r w:rsidRPr="004D57AD">
        <w:rPr>
          <w:highlight w:val="yellow"/>
        </w:rPr>
        <w:t xml:space="preserve">. </w:t>
      </w:r>
      <w:r w:rsidRPr="004D57AD">
        <w:rPr>
          <w:highlight w:val="yellow"/>
        </w:rPr>
        <w:t>CLAG</w:t>
      </w:r>
    </w:p>
    <w:p w14:paraId="080F6BE4" w14:textId="4CFFB9C6" w:rsidR="0049345D" w:rsidRDefault="00280192" w:rsidP="00236CE4">
      <w:proofErr w:type="spellStart"/>
      <w:r w:rsidRPr="004D57AD">
        <w:rPr>
          <w:highlight w:val="yellow"/>
        </w:rPr>
        <w:t>Jin</w:t>
      </w:r>
      <w:proofErr w:type="spellEnd"/>
      <w:r w:rsidRPr="004D57AD">
        <w:rPr>
          <w:highlight w:val="yellow"/>
        </w:rPr>
        <w:t xml:space="preserve"> et al. </w:t>
      </w:r>
      <w:sdt>
        <w:sdtPr>
          <w:rPr>
            <w:highlight w:val="yellow"/>
          </w:rPr>
          <w:id w:val="-934366276"/>
          <w:citation/>
        </w:sdtPr>
        <w:sdtContent>
          <w:r w:rsidR="00F71163" w:rsidRPr="004D57AD">
            <w:rPr>
              <w:highlight w:val="yellow"/>
            </w:rPr>
            <w:fldChar w:fldCharType="begin"/>
          </w:r>
          <w:r w:rsidR="00F71163" w:rsidRPr="004D57AD">
            <w:rPr>
              <w:highlight w:val="yellow"/>
            </w:rPr>
            <w:instrText xml:space="preserve"> CITATION Jin20CLAG \l 1033 </w:instrText>
          </w:r>
          <w:r w:rsidR="00F71163" w:rsidRPr="004D57AD">
            <w:rPr>
              <w:highlight w:val="yellow"/>
            </w:rPr>
            <w:fldChar w:fldCharType="separate"/>
          </w:r>
          <w:r w:rsidR="00F71163" w:rsidRPr="004D57AD">
            <w:rPr>
              <w:noProof/>
              <w:highlight w:val="yellow"/>
            </w:rPr>
            <w:t>(Jin, Zhang, Cai, &amp; Zhang, 2020)</w:t>
          </w:r>
          <w:r w:rsidR="00F71163" w:rsidRPr="004D57AD">
            <w:rPr>
              <w:highlight w:val="yellow"/>
            </w:rPr>
            <w:fldChar w:fldCharType="end"/>
          </w:r>
        </w:sdtContent>
      </w:sdt>
      <w:r w:rsidR="00F71163" w:rsidRPr="004D57AD">
        <w:rPr>
          <w:highlight w:val="yellow"/>
        </w:rPr>
        <w:t xml:space="preserve"> </w:t>
      </w:r>
      <w:r w:rsidR="00A72524" w:rsidRPr="004D57AD">
        <w:rPr>
          <w:highlight w:val="yellow"/>
        </w:rPr>
        <w:t>proposed CLAG measure defined as follows:</w:t>
      </w:r>
    </w:p>
    <w:p w14:paraId="7BBFC469" w14:textId="000B144D" w:rsidR="0049345D" w:rsidRDefault="0049345D" w:rsidP="00236CE4"/>
    <w:p w14:paraId="2FAA3C5B" w14:textId="1D876481" w:rsidR="00F25EA0" w:rsidRPr="004D57AD" w:rsidRDefault="00F25EA0" w:rsidP="00F25EA0">
      <w:pPr>
        <w:pStyle w:val="Heading1"/>
        <w:rPr>
          <w:highlight w:val="yellow"/>
        </w:rPr>
      </w:pPr>
      <w:r w:rsidRPr="004D57AD">
        <w:rPr>
          <w:highlight w:val="yellow"/>
        </w:rPr>
        <w:t>3</w:t>
      </w:r>
      <w:r w:rsidRPr="004D57AD">
        <w:rPr>
          <w:highlight w:val="yellow"/>
        </w:rPr>
        <w:t>1</w:t>
      </w:r>
      <w:r w:rsidRPr="004D57AD">
        <w:rPr>
          <w:highlight w:val="yellow"/>
        </w:rPr>
        <w:t xml:space="preserve">. </w:t>
      </w:r>
      <w:r w:rsidR="00DD42DC" w:rsidRPr="004D57AD">
        <w:rPr>
          <w:highlight w:val="yellow"/>
        </w:rPr>
        <w:t>EXP</w:t>
      </w:r>
    </w:p>
    <w:p w14:paraId="4416899E" w14:textId="24C8D428" w:rsidR="00F25EA0" w:rsidRDefault="00DE6F80" w:rsidP="00236CE4">
      <w:r w:rsidRPr="004D57AD">
        <w:rPr>
          <w:highlight w:val="yellow"/>
        </w:rPr>
        <w:t xml:space="preserve">Exponential measures </w:t>
      </w:r>
      <w:r w:rsidR="00D42214" w:rsidRPr="004D57AD">
        <w:rPr>
          <w:highlight w:val="yellow"/>
        </w:rPr>
        <w:t>are the measures</w:t>
      </w:r>
      <w:r w:rsidRPr="004D57AD">
        <w:rPr>
          <w:highlight w:val="yellow"/>
        </w:rPr>
        <w:t xml:space="preserve"> </w:t>
      </w:r>
      <w:r w:rsidR="00D42214" w:rsidRPr="004D57AD">
        <w:rPr>
          <w:highlight w:val="yellow"/>
        </w:rPr>
        <w:t>that take advantages of exponential function which can be considered as sigmoid function.</w:t>
      </w:r>
      <w:r w:rsidR="00F42A50" w:rsidRPr="004D57AD">
        <w:rPr>
          <w:highlight w:val="yellow"/>
        </w:rPr>
        <w:t xml:space="preserve"> They are denoted as EXP measures.</w:t>
      </w:r>
      <w:r w:rsidR="00FE240D" w:rsidRPr="004D57AD">
        <w:rPr>
          <w:highlight w:val="yellow"/>
        </w:rPr>
        <w:t xml:space="preserve"> Moghadam et al. </w:t>
      </w:r>
      <w:sdt>
        <w:sdtPr>
          <w:rPr>
            <w:highlight w:val="yellow"/>
          </w:rPr>
          <w:id w:val="603469837"/>
          <w:citation/>
        </w:sdtPr>
        <w:sdtContent>
          <w:r w:rsidR="009E0E51" w:rsidRPr="004D57AD">
            <w:rPr>
              <w:highlight w:val="yellow"/>
            </w:rPr>
            <w:fldChar w:fldCharType="begin"/>
          </w:r>
          <w:r w:rsidR="009E0E51" w:rsidRPr="004D57AD">
            <w:rPr>
              <w:highlight w:val="yellow"/>
            </w:rPr>
            <w:instrText xml:space="preserve"> CITATION Moghadam19EXP \l 1033 </w:instrText>
          </w:r>
          <w:r w:rsidR="009E0E51" w:rsidRPr="004D57AD">
            <w:rPr>
              <w:highlight w:val="yellow"/>
            </w:rPr>
            <w:fldChar w:fldCharType="separate"/>
          </w:r>
          <w:r w:rsidR="009E0E51" w:rsidRPr="004D57AD">
            <w:rPr>
              <w:noProof/>
              <w:highlight w:val="yellow"/>
            </w:rPr>
            <w:t>(Moghadam, Heidari, Moeini, &amp; Kamandi, 2019)</w:t>
          </w:r>
          <w:r w:rsidR="009E0E51" w:rsidRPr="004D57AD">
            <w:rPr>
              <w:highlight w:val="yellow"/>
            </w:rPr>
            <w:fldChar w:fldCharType="end"/>
          </w:r>
        </w:sdtContent>
      </w:sdt>
      <w:r w:rsidR="009E0E51" w:rsidRPr="004D57AD">
        <w:rPr>
          <w:highlight w:val="yellow"/>
        </w:rPr>
        <w:t xml:space="preserve"> </w:t>
      </w:r>
      <w:r w:rsidR="00FE240D" w:rsidRPr="004D57AD">
        <w:rPr>
          <w:highlight w:val="yellow"/>
        </w:rPr>
        <w:t>proposed their EXP as follows:</w:t>
      </w:r>
    </w:p>
    <w:p w14:paraId="5F26D385" w14:textId="77777777" w:rsidR="00DE6F80" w:rsidRDefault="00DE6F80" w:rsidP="00236CE4"/>
    <w:p w14:paraId="601522AB" w14:textId="7E4688F1" w:rsidR="00FB0527" w:rsidRPr="00FB0527" w:rsidRDefault="00FB0527" w:rsidP="00E55D2B">
      <w:pPr>
        <w:pStyle w:val="Heading1"/>
      </w:pPr>
      <w:r w:rsidRPr="00FB0527">
        <w:t>References</w:t>
      </w:r>
    </w:p>
    <w:p w14:paraId="0E201ACE" w14:textId="77777777" w:rsidR="00EA1D22" w:rsidRDefault="001F407D" w:rsidP="00EA1D22">
      <w:pPr>
        <w:pStyle w:val="Bibliography"/>
        <w:ind w:left="720" w:hanging="720"/>
        <w:rPr>
          <w:noProof/>
          <w:szCs w:val="24"/>
        </w:rPr>
      </w:pPr>
      <w:r>
        <w:fldChar w:fldCharType="begin"/>
      </w:r>
      <w:r>
        <w:instrText xml:space="preserve"> BIBLIOGRAPHY  \l 1033 </w:instrText>
      </w:r>
      <w:r>
        <w:fldChar w:fldCharType="separate"/>
      </w:r>
      <w:r w:rsidR="00EA1D22">
        <w:rPr>
          <w:noProof/>
        </w:rPr>
        <w:t>Al</w:t>
      </w:r>
      <w:r w:rsidR="00EA1D22">
        <w:rPr>
          <w:noProof/>
        </w:rPr>
        <w:noBreakHyphen/>
        <w:t xml:space="preserve">Shamri, M. H. (2021, October 30). Similarity modifers for enhancing the recommender system performance. </w:t>
      </w:r>
      <w:r w:rsidR="00EA1D22">
        <w:rPr>
          <w:i/>
          <w:iCs/>
          <w:noProof/>
        </w:rPr>
        <w:t>Applied Intelligence</w:t>
      </w:r>
      <w:r w:rsidR="00EA1D22">
        <w:rPr>
          <w:noProof/>
        </w:rPr>
        <w:t>. doi:10.1007/s10489-021-02900-7</w:t>
      </w:r>
    </w:p>
    <w:p w14:paraId="00B0F781" w14:textId="77777777" w:rsidR="00EA1D22" w:rsidRDefault="00EA1D22" w:rsidP="00EA1D22">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2013B8DA" w14:textId="77777777" w:rsidR="00EA1D22" w:rsidRDefault="00EA1D22" w:rsidP="00EA1D22">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FA74463" w14:textId="77777777" w:rsidR="00EA1D22" w:rsidRDefault="00EA1D22" w:rsidP="00EA1D22">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EF749FE" w14:textId="77777777" w:rsidR="00EA1D22" w:rsidRDefault="00EA1D22" w:rsidP="00EA1D22">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2FDE6410" w14:textId="77777777" w:rsidR="00EA1D22" w:rsidRDefault="00EA1D22" w:rsidP="00EA1D22">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01B18040" w14:textId="77777777" w:rsidR="00EA1D22" w:rsidRDefault="00EA1D22" w:rsidP="00EA1D22">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1191C0D7" w14:textId="77777777" w:rsidR="00EA1D22" w:rsidRDefault="00EA1D22" w:rsidP="00EA1D22">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F9FA451" w14:textId="77777777" w:rsidR="00EA1D22" w:rsidRDefault="00EA1D22" w:rsidP="00EA1D22">
      <w:pPr>
        <w:pStyle w:val="Bibliography"/>
        <w:ind w:left="720" w:hanging="720"/>
        <w:rPr>
          <w:noProof/>
        </w:rPr>
      </w:pPr>
      <w:r>
        <w:rPr>
          <w:noProof/>
        </w:rPr>
        <w:lastRenderedPageBreak/>
        <w:t xml:space="preserve">Feng, J., Fengs, X., Zhang, N., &amp; Peng, J. (2018, September 24). An improved collaborative filtering method based on similarity. (H. Wang, Ed.) </w:t>
      </w:r>
      <w:r>
        <w:rPr>
          <w:i/>
          <w:iCs/>
          <w:noProof/>
        </w:rPr>
        <w:t>PLos ONE, 13</w:t>
      </w:r>
      <w:r>
        <w:rPr>
          <w:noProof/>
        </w:rPr>
        <w:t>(10), 1-18. doi:10.1371/journal.pone.0204003</w:t>
      </w:r>
    </w:p>
    <w:p w14:paraId="4A6F8859" w14:textId="77777777" w:rsidR="00EA1D22" w:rsidRDefault="00EA1D22" w:rsidP="00EA1D22">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33CE9EC4" w14:textId="77777777" w:rsidR="00EA1D22" w:rsidRDefault="00EA1D22" w:rsidP="00EA1D22">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18AD9647" w14:textId="77777777" w:rsidR="00EA1D22" w:rsidRDefault="00EA1D22" w:rsidP="00EA1D22">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66AE9CC" w14:textId="77777777" w:rsidR="00EA1D22" w:rsidRDefault="00EA1D22" w:rsidP="00EA1D22">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5E98264D" w14:textId="77777777" w:rsidR="00EA1D22" w:rsidRDefault="00EA1D22" w:rsidP="00EA1D22">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0E024718" w14:textId="77777777" w:rsidR="00EA1D22" w:rsidRDefault="00EA1D22" w:rsidP="00EA1D22">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086E2582" w14:textId="77777777" w:rsidR="00EA1D22" w:rsidRDefault="00EA1D22" w:rsidP="00EA1D22">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04A1B223" w14:textId="77777777" w:rsidR="00EA1D22" w:rsidRDefault="00EA1D22" w:rsidP="00EA1D22">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4A3BAE3F" w14:textId="77777777" w:rsidR="00EA1D22" w:rsidRDefault="00EA1D22" w:rsidP="00EA1D22">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E98964D" w14:textId="77777777" w:rsidR="00EA1D22" w:rsidRDefault="00EA1D22" w:rsidP="00EA1D22">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6ECB0BFE" w14:textId="77777777" w:rsidR="00EA1D22" w:rsidRDefault="00EA1D22" w:rsidP="00EA1D22">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7E981192" w14:textId="77777777" w:rsidR="00EA1D22" w:rsidRDefault="00EA1D22" w:rsidP="00EA1D22">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2AE70973" w14:textId="77777777" w:rsidR="00EA1D22" w:rsidRDefault="00EA1D22" w:rsidP="00EA1D22">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7C623A8B" w14:textId="77777777" w:rsidR="00EA1D22" w:rsidRDefault="00EA1D22" w:rsidP="00EA1D22">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5F6CE86C" w14:textId="77777777" w:rsidR="00EA1D22" w:rsidRDefault="00EA1D22" w:rsidP="00EA1D22">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01D4FDF" w14:textId="77777777" w:rsidR="00EA1D22" w:rsidRDefault="00EA1D22" w:rsidP="00EA1D22">
      <w:pPr>
        <w:pStyle w:val="Bibliography"/>
        <w:ind w:left="720" w:hanging="720"/>
        <w:rPr>
          <w:noProof/>
        </w:rPr>
      </w:pPr>
      <w:r>
        <w:rPr>
          <w:noProof/>
        </w:rPr>
        <w:lastRenderedPageBreak/>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2F8E19A5" w14:textId="77777777" w:rsidR="00EA1D22" w:rsidRDefault="00EA1D22" w:rsidP="00EA1D22">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797A9DB0" w14:textId="77777777" w:rsidR="00EA1D22" w:rsidRDefault="00EA1D22" w:rsidP="00EA1D22">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70006577" w14:textId="77777777" w:rsidR="00EA1D22" w:rsidRDefault="00EA1D22" w:rsidP="00EA1D22">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5A41823C" w14:textId="77777777" w:rsidR="00EA1D22" w:rsidRDefault="00EA1D22" w:rsidP="00EA1D22">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1E2E2951" w14:textId="77777777" w:rsidR="00EA1D22" w:rsidRDefault="00EA1D22" w:rsidP="00EA1D22">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BF3C304" w14:textId="77777777" w:rsidR="00EA1D22" w:rsidRDefault="00EA1D22" w:rsidP="00EA1D22">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EA1D22">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0EA4"/>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711B"/>
    <w:rsid w:val="000E3E20"/>
    <w:rsid w:val="000E48CB"/>
    <w:rsid w:val="000E602C"/>
    <w:rsid w:val="000E6FA9"/>
    <w:rsid w:val="0010615C"/>
    <w:rsid w:val="001169C4"/>
    <w:rsid w:val="0012069E"/>
    <w:rsid w:val="00123493"/>
    <w:rsid w:val="00125985"/>
    <w:rsid w:val="00134BE5"/>
    <w:rsid w:val="00143E22"/>
    <w:rsid w:val="001478A7"/>
    <w:rsid w:val="00157B94"/>
    <w:rsid w:val="001712E7"/>
    <w:rsid w:val="00171BDA"/>
    <w:rsid w:val="00173DC3"/>
    <w:rsid w:val="00190876"/>
    <w:rsid w:val="00190D91"/>
    <w:rsid w:val="001A61C8"/>
    <w:rsid w:val="001A7FA2"/>
    <w:rsid w:val="001B7855"/>
    <w:rsid w:val="001D0391"/>
    <w:rsid w:val="001D5B1B"/>
    <w:rsid w:val="001D73E5"/>
    <w:rsid w:val="001E2BE5"/>
    <w:rsid w:val="001F30A8"/>
    <w:rsid w:val="001F407D"/>
    <w:rsid w:val="001F6432"/>
    <w:rsid w:val="00206EBA"/>
    <w:rsid w:val="00211EA6"/>
    <w:rsid w:val="002207B5"/>
    <w:rsid w:val="002214E2"/>
    <w:rsid w:val="00225772"/>
    <w:rsid w:val="00236CE4"/>
    <w:rsid w:val="00237A57"/>
    <w:rsid w:val="00243002"/>
    <w:rsid w:val="002456FC"/>
    <w:rsid w:val="00265926"/>
    <w:rsid w:val="002755AC"/>
    <w:rsid w:val="002759BB"/>
    <w:rsid w:val="00280192"/>
    <w:rsid w:val="00282D8E"/>
    <w:rsid w:val="00287A0D"/>
    <w:rsid w:val="002904E1"/>
    <w:rsid w:val="0029169B"/>
    <w:rsid w:val="002A4375"/>
    <w:rsid w:val="002B0353"/>
    <w:rsid w:val="002B0508"/>
    <w:rsid w:val="002B063A"/>
    <w:rsid w:val="002B260F"/>
    <w:rsid w:val="002D1B40"/>
    <w:rsid w:val="002D1F2D"/>
    <w:rsid w:val="002D2553"/>
    <w:rsid w:val="0030246F"/>
    <w:rsid w:val="00313BBE"/>
    <w:rsid w:val="0031522F"/>
    <w:rsid w:val="0032089F"/>
    <w:rsid w:val="00322226"/>
    <w:rsid w:val="0033514E"/>
    <w:rsid w:val="00340094"/>
    <w:rsid w:val="00353764"/>
    <w:rsid w:val="00355E1D"/>
    <w:rsid w:val="003723BE"/>
    <w:rsid w:val="003935B1"/>
    <w:rsid w:val="00394A89"/>
    <w:rsid w:val="003A12B8"/>
    <w:rsid w:val="003A1C5B"/>
    <w:rsid w:val="003B04D0"/>
    <w:rsid w:val="003B1830"/>
    <w:rsid w:val="003B1A3B"/>
    <w:rsid w:val="003C69C6"/>
    <w:rsid w:val="003D4FE2"/>
    <w:rsid w:val="003F15C5"/>
    <w:rsid w:val="00405B32"/>
    <w:rsid w:val="00406B80"/>
    <w:rsid w:val="00410BC8"/>
    <w:rsid w:val="004266C3"/>
    <w:rsid w:val="00427B13"/>
    <w:rsid w:val="00427C75"/>
    <w:rsid w:val="00441BEB"/>
    <w:rsid w:val="00444C86"/>
    <w:rsid w:val="004534F5"/>
    <w:rsid w:val="0045574C"/>
    <w:rsid w:val="00456370"/>
    <w:rsid w:val="0046292B"/>
    <w:rsid w:val="004648FB"/>
    <w:rsid w:val="00464B77"/>
    <w:rsid w:val="004653A2"/>
    <w:rsid w:val="0046725B"/>
    <w:rsid w:val="00467954"/>
    <w:rsid w:val="0049345D"/>
    <w:rsid w:val="0049366D"/>
    <w:rsid w:val="00494CF3"/>
    <w:rsid w:val="004977B0"/>
    <w:rsid w:val="004A24D2"/>
    <w:rsid w:val="004A268C"/>
    <w:rsid w:val="004A3385"/>
    <w:rsid w:val="004A5A07"/>
    <w:rsid w:val="004B37CF"/>
    <w:rsid w:val="004B4162"/>
    <w:rsid w:val="004B4A50"/>
    <w:rsid w:val="004C2D7F"/>
    <w:rsid w:val="004D57AD"/>
    <w:rsid w:val="004E3934"/>
    <w:rsid w:val="004F61E9"/>
    <w:rsid w:val="005047E0"/>
    <w:rsid w:val="00510D90"/>
    <w:rsid w:val="00514095"/>
    <w:rsid w:val="00531C69"/>
    <w:rsid w:val="005446D4"/>
    <w:rsid w:val="00550658"/>
    <w:rsid w:val="00560271"/>
    <w:rsid w:val="005644C0"/>
    <w:rsid w:val="00564C45"/>
    <w:rsid w:val="005677E4"/>
    <w:rsid w:val="005926DF"/>
    <w:rsid w:val="0059564D"/>
    <w:rsid w:val="0059575C"/>
    <w:rsid w:val="00595BD1"/>
    <w:rsid w:val="005964F0"/>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37572"/>
    <w:rsid w:val="00653685"/>
    <w:rsid w:val="006614A3"/>
    <w:rsid w:val="00666628"/>
    <w:rsid w:val="00671CFD"/>
    <w:rsid w:val="006910F9"/>
    <w:rsid w:val="00695680"/>
    <w:rsid w:val="006A4EEA"/>
    <w:rsid w:val="006B553D"/>
    <w:rsid w:val="006B5EC4"/>
    <w:rsid w:val="006C4C67"/>
    <w:rsid w:val="006C6755"/>
    <w:rsid w:val="006F2C79"/>
    <w:rsid w:val="006F5A35"/>
    <w:rsid w:val="006F7A78"/>
    <w:rsid w:val="00706465"/>
    <w:rsid w:val="00711C95"/>
    <w:rsid w:val="00723AA2"/>
    <w:rsid w:val="00726B72"/>
    <w:rsid w:val="00735BA5"/>
    <w:rsid w:val="00737079"/>
    <w:rsid w:val="00737D04"/>
    <w:rsid w:val="007545E2"/>
    <w:rsid w:val="0076250A"/>
    <w:rsid w:val="00772A9C"/>
    <w:rsid w:val="00781295"/>
    <w:rsid w:val="00781505"/>
    <w:rsid w:val="00781E7C"/>
    <w:rsid w:val="00783FB8"/>
    <w:rsid w:val="00784091"/>
    <w:rsid w:val="00794327"/>
    <w:rsid w:val="00795115"/>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4512A"/>
    <w:rsid w:val="00863474"/>
    <w:rsid w:val="008716AB"/>
    <w:rsid w:val="00872EC6"/>
    <w:rsid w:val="008747C0"/>
    <w:rsid w:val="00883111"/>
    <w:rsid w:val="0088384F"/>
    <w:rsid w:val="008A3128"/>
    <w:rsid w:val="008A5FBB"/>
    <w:rsid w:val="008B27BA"/>
    <w:rsid w:val="008B2EA8"/>
    <w:rsid w:val="008B6529"/>
    <w:rsid w:val="008B6829"/>
    <w:rsid w:val="008D3B27"/>
    <w:rsid w:val="008E170D"/>
    <w:rsid w:val="008E4277"/>
    <w:rsid w:val="008E5636"/>
    <w:rsid w:val="008E7388"/>
    <w:rsid w:val="008F6700"/>
    <w:rsid w:val="009012E2"/>
    <w:rsid w:val="0090254D"/>
    <w:rsid w:val="00911043"/>
    <w:rsid w:val="00925817"/>
    <w:rsid w:val="00931AB8"/>
    <w:rsid w:val="009322B2"/>
    <w:rsid w:val="00932B25"/>
    <w:rsid w:val="009354D6"/>
    <w:rsid w:val="00946C0B"/>
    <w:rsid w:val="00955FAC"/>
    <w:rsid w:val="00962D0D"/>
    <w:rsid w:val="00971FA4"/>
    <w:rsid w:val="009933EB"/>
    <w:rsid w:val="009A48B8"/>
    <w:rsid w:val="009B0866"/>
    <w:rsid w:val="009D4089"/>
    <w:rsid w:val="009E0E51"/>
    <w:rsid w:val="009E4D52"/>
    <w:rsid w:val="009F79E1"/>
    <w:rsid w:val="00A02E34"/>
    <w:rsid w:val="00A07C62"/>
    <w:rsid w:val="00A16726"/>
    <w:rsid w:val="00A20404"/>
    <w:rsid w:val="00A24445"/>
    <w:rsid w:val="00A248F3"/>
    <w:rsid w:val="00A3207C"/>
    <w:rsid w:val="00A34722"/>
    <w:rsid w:val="00A34751"/>
    <w:rsid w:val="00A401E7"/>
    <w:rsid w:val="00A4399A"/>
    <w:rsid w:val="00A5300F"/>
    <w:rsid w:val="00A579A6"/>
    <w:rsid w:val="00A7094C"/>
    <w:rsid w:val="00A72524"/>
    <w:rsid w:val="00A74030"/>
    <w:rsid w:val="00A83995"/>
    <w:rsid w:val="00A83DB1"/>
    <w:rsid w:val="00A94BB8"/>
    <w:rsid w:val="00A9538E"/>
    <w:rsid w:val="00AA12D6"/>
    <w:rsid w:val="00AB7F88"/>
    <w:rsid w:val="00AC0C83"/>
    <w:rsid w:val="00AD064B"/>
    <w:rsid w:val="00AD75A4"/>
    <w:rsid w:val="00AE776B"/>
    <w:rsid w:val="00AF061B"/>
    <w:rsid w:val="00AF64D0"/>
    <w:rsid w:val="00B02E97"/>
    <w:rsid w:val="00B21543"/>
    <w:rsid w:val="00B236F9"/>
    <w:rsid w:val="00B3259A"/>
    <w:rsid w:val="00B37546"/>
    <w:rsid w:val="00B37976"/>
    <w:rsid w:val="00B50266"/>
    <w:rsid w:val="00B53D9B"/>
    <w:rsid w:val="00B678D1"/>
    <w:rsid w:val="00B742C2"/>
    <w:rsid w:val="00B8281A"/>
    <w:rsid w:val="00B925CF"/>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0F2"/>
    <w:rsid w:val="00C7217F"/>
    <w:rsid w:val="00C759C1"/>
    <w:rsid w:val="00C82EC0"/>
    <w:rsid w:val="00C90B71"/>
    <w:rsid w:val="00C955E3"/>
    <w:rsid w:val="00C96270"/>
    <w:rsid w:val="00CA73A6"/>
    <w:rsid w:val="00CB7695"/>
    <w:rsid w:val="00CC2AB4"/>
    <w:rsid w:val="00CC30AE"/>
    <w:rsid w:val="00CC3E77"/>
    <w:rsid w:val="00CC4168"/>
    <w:rsid w:val="00CC4AE8"/>
    <w:rsid w:val="00CD67CB"/>
    <w:rsid w:val="00CF2420"/>
    <w:rsid w:val="00D01438"/>
    <w:rsid w:val="00D0208F"/>
    <w:rsid w:val="00D10089"/>
    <w:rsid w:val="00D11080"/>
    <w:rsid w:val="00D17DC2"/>
    <w:rsid w:val="00D234B6"/>
    <w:rsid w:val="00D25BF1"/>
    <w:rsid w:val="00D36193"/>
    <w:rsid w:val="00D37DBD"/>
    <w:rsid w:val="00D40638"/>
    <w:rsid w:val="00D40FA6"/>
    <w:rsid w:val="00D42214"/>
    <w:rsid w:val="00D51BF6"/>
    <w:rsid w:val="00D53456"/>
    <w:rsid w:val="00D56F8C"/>
    <w:rsid w:val="00D64967"/>
    <w:rsid w:val="00D64F84"/>
    <w:rsid w:val="00D67A10"/>
    <w:rsid w:val="00D71038"/>
    <w:rsid w:val="00D742FC"/>
    <w:rsid w:val="00D92113"/>
    <w:rsid w:val="00D97EA8"/>
    <w:rsid w:val="00DB5304"/>
    <w:rsid w:val="00DC7451"/>
    <w:rsid w:val="00DC7AFA"/>
    <w:rsid w:val="00DD42DC"/>
    <w:rsid w:val="00DD720B"/>
    <w:rsid w:val="00DE6F80"/>
    <w:rsid w:val="00E00454"/>
    <w:rsid w:val="00E0416E"/>
    <w:rsid w:val="00E07224"/>
    <w:rsid w:val="00E072A5"/>
    <w:rsid w:val="00E076EA"/>
    <w:rsid w:val="00E1645A"/>
    <w:rsid w:val="00E304A1"/>
    <w:rsid w:val="00E32BD6"/>
    <w:rsid w:val="00E33C8F"/>
    <w:rsid w:val="00E463E4"/>
    <w:rsid w:val="00E473F8"/>
    <w:rsid w:val="00E50F5A"/>
    <w:rsid w:val="00E52411"/>
    <w:rsid w:val="00E55D2B"/>
    <w:rsid w:val="00E632ED"/>
    <w:rsid w:val="00E70C48"/>
    <w:rsid w:val="00E7262C"/>
    <w:rsid w:val="00E75196"/>
    <w:rsid w:val="00E77A50"/>
    <w:rsid w:val="00E813AB"/>
    <w:rsid w:val="00E81597"/>
    <w:rsid w:val="00E81BAF"/>
    <w:rsid w:val="00E85236"/>
    <w:rsid w:val="00E86BE5"/>
    <w:rsid w:val="00E90DFF"/>
    <w:rsid w:val="00E92D48"/>
    <w:rsid w:val="00E92EEE"/>
    <w:rsid w:val="00E9596C"/>
    <w:rsid w:val="00E9780A"/>
    <w:rsid w:val="00E97E1A"/>
    <w:rsid w:val="00EA1D22"/>
    <w:rsid w:val="00EA4D41"/>
    <w:rsid w:val="00EB0497"/>
    <w:rsid w:val="00EB2226"/>
    <w:rsid w:val="00EB2A3E"/>
    <w:rsid w:val="00EC2FFA"/>
    <w:rsid w:val="00EC6845"/>
    <w:rsid w:val="00EE3426"/>
    <w:rsid w:val="00EE571B"/>
    <w:rsid w:val="00EE579B"/>
    <w:rsid w:val="00EE6F24"/>
    <w:rsid w:val="00EF3B14"/>
    <w:rsid w:val="00EF3EFA"/>
    <w:rsid w:val="00EF5644"/>
    <w:rsid w:val="00EF680F"/>
    <w:rsid w:val="00F06849"/>
    <w:rsid w:val="00F1027C"/>
    <w:rsid w:val="00F120F3"/>
    <w:rsid w:val="00F15880"/>
    <w:rsid w:val="00F25EA0"/>
    <w:rsid w:val="00F3174D"/>
    <w:rsid w:val="00F36B6E"/>
    <w:rsid w:val="00F40A1E"/>
    <w:rsid w:val="00F42A50"/>
    <w:rsid w:val="00F54976"/>
    <w:rsid w:val="00F557FC"/>
    <w:rsid w:val="00F56277"/>
    <w:rsid w:val="00F56B42"/>
    <w:rsid w:val="00F71163"/>
    <w:rsid w:val="00F7456A"/>
    <w:rsid w:val="00F76F45"/>
    <w:rsid w:val="00F770BA"/>
    <w:rsid w:val="00F84EED"/>
    <w:rsid w:val="00F946A3"/>
    <w:rsid w:val="00FA0591"/>
    <w:rsid w:val="00FB0527"/>
    <w:rsid w:val="00FB0DFF"/>
    <w:rsid w:val="00FB2E13"/>
    <w:rsid w:val="00FB6805"/>
    <w:rsid w:val="00FC18FF"/>
    <w:rsid w:val="00FC24C3"/>
    <w:rsid w:val="00FC4094"/>
    <w:rsid w:val="00FD459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10</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14</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12</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13</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23</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11</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24</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15</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25</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26</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8</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27</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29</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28</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7</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30</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31</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9</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16</b:RefOrder>
  </b:Source>
</b:Sources>
</file>

<file path=customXml/itemProps1.xml><?xml version="1.0" encoding="utf-8"?>
<ds:datastoreItem xmlns:ds="http://schemas.openxmlformats.org/officeDocument/2006/customXml" ds:itemID="{7364BADC-0B53-4DB5-917E-C4176160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25</Pages>
  <Words>10585</Words>
  <Characters>60340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344</cp:revision>
  <dcterms:created xsi:type="dcterms:W3CDTF">2021-07-06T12:47:00Z</dcterms:created>
  <dcterms:modified xsi:type="dcterms:W3CDTF">2022-05-21T09:47:00Z</dcterms:modified>
</cp:coreProperties>
</file>