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D2" w:rsidRPr="00577C6B" w:rsidRDefault="00577C6B" w:rsidP="00577C6B">
      <w:pPr>
        <w:pStyle w:val="berschrift1"/>
      </w:pPr>
      <w:r w:rsidRPr="00577C6B">
        <w:t>Kapitalbedarf und Finanzierung</w:t>
      </w:r>
    </w:p>
    <w:p w:rsidR="00577C6B" w:rsidRDefault="00577C6B" w:rsidP="00577C6B">
      <w:pPr>
        <w:pStyle w:val="KeinLeerraum"/>
      </w:pPr>
    </w:p>
    <w:p w:rsidR="00577C6B" w:rsidRDefault="00577C6B" w:rsidP="00577C6B">
      <w:pPr>
        <w:pStyle w:val="KeinLeerraum"/>
      </w:pPr>
      <w:r>
        <w:t>Der Kapitalbedarf für die Gründung und den Start der Firma, wird wie folgt dargestellt:</w:t>
      </w:r>
    </w:p>
    <w:p w:rsidR="00577C6B" w:rsidRDefault="00577C6B" w:rsidP="00577C6B">
      <w:pPr>
        <w:pStyle w:val="KeinLeerraum"/>
      </w:pPr>
    </w:p>
    <w:p w:rsidR="00D008B9" w:rsidRDefault="00D008B9" w:rsidP="00577C6B">
      <w:pPr>
        <w:pStyle w:val="KeinLeerraum"/>
      </w:pPr>
    </w:p>
    <w:p w:rsidR="00D008B9" w:rsidRDefault="00D008B9" w:rsidP="00577C6B">
      <w:pPr>
        <w:pStyle w:val="KeinLeerraum"/>
      </w:pPr>
    </w:p>
    <w:p w:rsidR="00D008B9" w:rsidRDefault="00D6084A" w:rsidP="00577C6B">
      <w:pPr>
        <w:pStyle w:val="KeinLeerraum"/>
      </w:pPr>
      <w:r>
        <w:rPr>
          <w:noProof/>
        </w:rPr>
        <w:drawing>
          <wp:inline distT="0" distB="0" distL="0" distR="0">
            <wp:extent cx="5184140" cy="810895"/>
            <wp:effectExtent l="19050" t="0" r="0" b="0"/>
            <wp:docPr id="14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B9" w:rsidRDefault="00D008B9" w:rsidP="00577C6B">
      <w:pPr>
        <w:pStyle w:val="KeinLeerraum"/>
      </w:pPr>
    </w:p>
    <w:p w:rsidR="00577C6B" w:rsidRDefault="00577C6B" w:rsidP="00577C6B">
      <w:pPr>
        <w:pStyle w:val="KeinLeerraum"/>
      </w:pPr>
    </w:p>
    <w:p w:rsidR="00577C6B" w:rsidRDefault="00577C6B" w:rsidP="00577C6B">
      <w:pPr>
        <w:pStyle w:val="KeinLeerraum"/>
      </w:pPr>
      <w:r>
        <w:t xml:space="preserve">Die Finanzierung des Kapitalbedarfs sowie die Kosten, die im ersten Jahr entstehen, werden durch Crowdfunding gesammelt. </w:t>
      </w:r>
    </w:p>
    <w:p w:rsidR="00577C6B" w:rsidRDefault="00577C6B" w:rsidP="00577C6B">
      <w:pPr>
        <w:pStyle w:val="KeinLeerraum"/>
      </w:pPr>
      <w:r>
        <w:t>Durch Crowdfunding</w:t>
      </w:r>
      <w:r w:rsidR="007E1A92">
        <w:rPr>
          <w:rStyle w:val="Funotenzeichen"/>
          <w:b/>
        </w:rPr>
        <w:footnoteReference w:id="2"/>
      </w:r>
      <w:r>
        <w:t xml:space="preserve"> wird folgende Summe direkt am Anfang gesammelt:</w:t>
      </w:r>
    </w:p>
    <w:p w:rsidR="00D008B9" w:rsidRDefault="00D008B9" w:rsidP="00577C6B">
      <w:pPr>
        <w:pStyle w:val="KeinLeerraum"/>
      </w:pPr>
      <w:r>
        <w:rPr>
          <w:noProof/>
        </w:rPr>
        <w:drawing>
          <wp:inline distT="0" distB="0" distL="0" distR="0">
            <wp:extent cx="4468495" cy="318135"/>
            <wp:effectExtent l="19050" t="0" r="8255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B9" w:rsidRDefault="00D008B9" w:rsidP="00577C6B">
      <w:pPr>
        <w:pStyle w:val="KeinLeerraum"/>
      </w:pPr>
    </w:p>
    <w:p w:rsidR="00D008B9" w:rsidRDefault="00D008B9" w:rsidP="00577C6B">
      <w:pPr>
        <w:pStyle w:val="KeinLeerraum"/>
      </w:pPr>
    </w:p>
    <w:p w:rsidR="00D008B9" w:rsidRDefault="00D008B9" w:rsidP="00577C6B">
      <w:pPr>
        <w:pStyle w:val="KeinLeerraum"/>
      </w:pPr>
    </w:p>
    <w:p w:rsidR="00577C6B" w:rsidRPr="00577C6B" w:rsidRDefault="00577C6B" w:rsidP="00577C6B">
      <w:pPr>
        <w:pStyle w:val="berschrift1"/>
      </w:pPr>
      <w:r w:rsidRPr="00577C6B">
        <w:t>Planrechnung</w:t>
      </w:r>
    </w:p>
    <w:p w:rsidR="00577C6B" w:rsidRDefault="00577C6B" w:rsidP="00577C6B">
      <w:pPr>
        <w:pStyle w:val="KeinLeerraum"/>
      </w:pPr>
      <w:r>
        <w:t>Die Planrechnung beinhaltet die Erstellung eines 3-Jahres Erfolgs- und Finanzplanung.</w:t>
      </w:r>
    </w:p>
    <w:p w:rsidR="00577C6B" w:rsidRDefault="00577C6B" w:rsidP="00577C6B">
      <w:pPr>
        <w:pStyle w:val="KeinLeerraum"/>
      </w:pPr>
    </w:p>
    <w:p w:rsidR="00577C6B" w:rsidRPr="00577C6B" w:rsidRDefault="00276845" w:rsidP="00577C6B">
      <w:pPr>
        <w:pStyle w:val="berschrift2"/>
      </w:pPr>
      <w:r>
        <w:t>Kostenplanung</w:t>
      </w:r>
    </w:p>
    <w:p w:rsidR="00577C6B" w:rsidRDefault="00577C6B" w:rsidP="00577C6B">
      <w:pPr>
        <w:pStyle w:val="berschrift3"/>
      </w:pPr>
      <w:r>
        <w:t>Löhne</w:t>
      </w:r>
    </w:p>
    <w:p w:rsidR="00577C6B" w:rsidRDefault="00577C6B" w:rsidP="00577C6B">
      <w:pPr>
        <w:pStyle w:val="KeinLeerraum"/>
      </w:pPr>
    </w:p>
    <w:p w:rsidR="00577C6B" w:rsidRDefault="00577C6B" w:rsidP="00577C6B">
      <w:pPr>
        <w:pStyle w:val="KeinLeerraum"/>
      </w:pPr>
      <w:r>
        <w:t>Das Gründer Team besteht aus:</w:t>
      </w: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  <w:r>
        <w:rPr>
          <w:noProof/>
        </w:rPr>
        <w:drawing>
          <wp:inline distT="0" distB="0" distL="0" distR="0">
            <wp:extent cx="5756910" cy="1924050"/>
            <wp:effectExtent l="1905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276845" w:rsidRDefault="00E76126" w:rsidP="00276845">
      <w:pPr>
        <w:pStyle w:val="KeinLeerraum"/>
      </w:pPr>
      <w:r>
        <w:t>Zusätzlich sind 20% als Arbeitgerberanteil an den Lohnnebenkosten zu zahlen.</w:t>
      </w:r>
    </w:p>
    <w:p w:rsidR="00D94436" w:rsidRDefault="00D94436" w:rsidP="00276845">
      <w:pPr>
        <w:pStyle w:val="KeinLeerraum"/>
      </w:pPr>
    </w:p>
    <w:p w:rsidR="00757E7D" w:rsidRDefault="00757E7D" w:rsidP="00276845">
      <w:pPr>
        <w:pStyle w:val="KeinLeerraum"/>
      </w:pPr>
      <w:r>
        <w:lastRenderedPageBreak/>
        <w:t xml:space="preserve">Für die Bewältigung der größer werdenden Support-Leistungen (Webseiten/Flyer Erstellung), ist geplant weitere Programmierer einzustellen, ab dem </w:t>
      </w:r>
    </w:p>
    <w:p w:rsidR="00D94436" w:rsidRDefault="00757E7D" w:rsidP="00276845">
      <w:pPr>
        <w:pStyle w:val="KeinLeerraum"/>
      </w:pPr>
      <w:r>
        <w:t>17., 20., 23., 26., 28., 30., 31., 33., 34.</w:t>
      </w:r>
      <w:r w:rsidR="00B07A85">
        <w:t>, 36., 37., 39. und 40.</w:t>
      </w:r>
      <w:r>
        <w:t xml:space="preserve"> Monat nach Geschäftsbeginn. </w:t>
      </w:r>
    </w:p>
    <w:p w:rsidR="00D94436" w:rsidRDefault="00D94436" w:rsidP="00276845">
      <w:pPr>
        <w:pStyle w:val="KeinLeerraum"/>
      </w:pPr>
    </w:p>
    <w:p w:rsidR="00D94436" w:rsidRDefault="00AD5265" w:rsidP="00276845">
      <w:pPr>
        <w:pStyle w:val="KeinLeerraum"/>
      </w:pPr>
      <w:r>
        <w:t>Ab dem 3. Jahr gibt es</w:t>
      </w:r>
      <w:r w:rsidR="00E649F2">
        <w:t xml:space="preserve"> eine Gehaltserhöhung in Höhe von 50%.</w:t>
      </w:r>
    </w:p>
    <w:p w:rsidR="00E649F2" w:rsidRDefault="00E649F2" w:rsidP="00276845">
      <w:pPr>
        <w:pStyle w:val="KeinLeerraum"/>
      </w:pPr>
    </w:p>
    <w:p w:rsidR="00D94436" w:rsidRDefault="00D94436" w:rsidP="00276845">
      <w:pPr>
        <w:pStyle w:val="KeinLeerraum"/>
      </w:pPr>
    </w:p>
    <w:p w:rsidR="00D94436" w:rsidRDefault="00D94436" w:rsidP="00276845">
      <w:pPr>
        <w:pStyle w:val="KeinLeerraum"/>
      </w:pPr>
    </w:p>
    <w:p w:rsidR="00B07A85" w:rsidRDefault="00B07A85" w:rsidP="00276845">
      <w:pPr>
        <w:pStyle w:val="KeinLeerraum"/>
      </w:pPr>
    </w:p>
    <w:p w:rsidR="00B07A85" w:rsidRDefault="00B07A85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008B9" w:rsidRDefault="00FA0F5D" w:rsidP="00276845">
      <w:pPr>
        <w:pStyle w:val="KeinLeerraum"/>
      </w:pPr>
      <w:r>
        <w:rPr>
          <w:noProof/>
        </w:rPr>
        <w:drawing>
          <wp:inline distT="0" distB="0" distL="0" distR="0">
            <wp:extent cx="4158615" cy="252031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8B9" w:rsidRDefault="00D008B9" w:rsidP="00276845">
      <w:pPr>
        <w:pStyle w:val="KeinLeerraum"/>
      </w:pPr>
    </w:p>
    <w:p w:rsidR="00D008B9" w:rsidRDefault="00D008B9" w:rsidP="00276845">
      <w:pPr>
        <w:pStyle w:val="KeinLeerraum"/>
      </w:pPr>
    </w:p>
    <w:p w:rsidR="00D6084A" w:rsidRDefault="00D6084A" w:rsidP="00276845">
      <w:pPr>
        <w:pStyle w:val="KeinLeerraum"/>
        <w:rPr>
          <w:noProof/>
        </w:rPr>
      </w:pPr>
    </w:p>
    <w:p w:rsidR="00D6084A" w:rsidRDefault="00D6084A" w:rsidP="00276845">
      <w:pPr>
        <w:pStyle w:val="KeinLeerraum"/>
      </w:pPr>
    </w:p>
    <w:p w:rsidR="00D94436" w:rsidRDefault="00D94436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1055F0" w:rsidRDefault="00D6084A" w:rsidP="001055F0">
      <w:pPr>
        <w:pStyle w:val="KeinLeerraum"/>
      </w:pPr>
      <w:r>
        <w:t xml:space="preserve">Zu den Mieten: Siehe Netto Preise vom Betahaus </w:t>
      </w:r>
      <w:hyperlink r:id="rId12" w:history="1">
        <w:r w:rsidRPr="00513123">
          <w:rPr>
            <w:rStyle w:val="Hyperlink"/>
          </w:rPr>
          <w:t>http://betahaus.de/preise/</w:t>
        </w:r>
      </w:hyperlink>
      <w:r>
        <w:t xml:space="preserve"> (Strom, Wasser, Gas, Internet inklusive)</w:t>
      </w:r>
    </w:p>
    <w:p w:rsidR="00D6084A" w:rsidRDefault="00D6084A" w:rsidP="001055F0">
      <w:pPr>
        <w:pStyle w:val="KeinLeerraum"/>
      </w:pPr>
    </w:p>
    <w:p w:rsidR="001055F0" w:rsidRPr="001055F0" w:rsidRDefault="001055F0" w:rsidP="001055F0">
      <w:pPr>
        <w:pStyle w:val="berschrift2"/>
        <w:numPr>
          <w:ilvl w:val="1"/>
          <w:numId w:val="3"/>
        </w:numPr>
      </w:pPr>
      <w:r>
        <w:t>Umsatzplanung</w:t>
      </w:r>
    </w:p>
    <w:p w:rsidR="00781E01" w:rsidRDefault="00781E01" w:rsidP="00276845">
      <w:pPr>
        <w:pStyle w:val="KeinLeerraum"/>
        <w:rPr>
          <w:rFonts w:ascii="Calibri" w:eastAsia="Calibri" w:hAnsi="Calibri" w:cs="Calibri"/>
        </w:rPr>
      </w:pPr>
    </w:p>
    <w:p w:rsidR="00E02CFC" w:rsidRDefault="00E30FC6" w:rsidP="00276845">
      <w:pPr>
        <w:pStyle w:val="KeinLeerraum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Die d</w:t>
      </w:r>
      <w:r w:rsidR="00186101">
        <w:rPr>
          <w:rFonts w:ascii="Calibri" w:eastAsia="Times New Roman" w:hAnsi="Calibri" w:cs="Times New Roman"/>
          <w:color w:val="000000"/>
        </w:rPr>
        <w:t>etailierte Auflistung und Berechnung</w:t>
      </w:r>
      <w:r>
        <w:rPr>
          <w:rFonts w:ascii="Calibri" w:eastAsia="Times New Roman" w:hAnsi="Calibri" w:cs="Times New Roman"/>
          <w:color w:val="000000"/>
        </w:rPr>
        <w:t xml:space="preserve"> ist im Anhang zu finden</w:t>
      </w:r>
      <w:r w:rsidR="00186101">
        <w:rPr>
          <w:rFonts w:ascii="Calibri" w:eastAsia="Times New Roman" w:hAnsi="Calibri" w:cs="Times New Roman"/>
          <w:color w:val="000000"/>
        </w:rPr>
        <w:t>.</w:t>
      </w:r>
    </w:p>
    <w:p w:rsidR="00781E01" w:rsidRDefault="00781E01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C814A3" w:rsidRDefault="00C814A3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C814A3" w:rsidRDefault="00C814A3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C814A3" w:rsidRDefault="00C814A3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C814A3" w:rsidRDefault="00C814A3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C814A3" w:rsidRDefault="00C814A3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C814A3" w:rsidRDefault="00C814A3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C814A3" w:rsidRDefault="00C814A3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D6084A" w:rsidRDefault="00D6084A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D6084A" w:rsidRDefault="00D6084A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C814A3" w:rsidRDefault="00C814A3" w:rsidP="00276845">
      <w:pPr>
        <w:pStyle w:val="KeinLeerraum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5247640" cy="2862580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84A" w:rsidRDefault="00D6084A" w:rsidP="00276845">
      <w:pPr>
        <w:pStyle w:val="KeinLeerraum"/>
        <w:rPr>
          <w:rFonts w:ascii="Calibri" w:eastAsia="Times New Roman" w:hAnsi="Calibri" w:cs="Times New Roman"/>
          <w:color w:val="000000"/>
        </w:rPr>
      </w:pPr>
    </w:p>
    <w:p w:rsidR="00781E01" w:rsidRDefault="00E30FC6" w:rsidP="00E30FC6">
      <w:pPr>
        <w:pStyle w:val="berschrift2"/>
        <w:rPr>
          <w:rFonts w:eastAsia="Times New Roman"/>
        </w:rPr>
      </w:pPr>
      <w:r>
        <w:rPr>
          <w:rFonts w:eastAsia="Times New Roman"/>
        </w:rPr>
        <w:t>Liquiditätsplanung</w:t>
      </w:r>
    </w:p>
    <w:p w:rsidR="00781E01" w:rsidRDefault="00781E01" w:rsidP="00276845">
      <w:pPr>
        <w:pStyle w:val="KeinLeerraum"/>
      </w:pPr>
    </w:p>
    <w:p w:rsidR="00D72D1B" w:rsidRDefault="00E30FC6" w:rsidP="00276845">
      <w:pPr>
        <w:pStyle w:val="KeinLeerraum"/>
      </w:pPr>
      <w:r>
        <w:t xml:space="preserve">Durch Crowdfunding werden 200.000€ eingenommen. Mit ihnen können die Gründungskosten und spätere Ausgaben abgedeckt werden. </w:t>
      </w:r>
    </w:p>
    <w:p w:rsidR="00E30FC6" w:rsidRDefault="00E30FC6" w:rsidP="00276845">
      <w:pPr>
        <w:pStyle w:val="KeinLeerraum"/>
      </w:pPr>
      <w:r>
        <w:t>Dadurch sind wir zu jedem Zeitpunkt Liquide.</w:t>
      </w:r>
    </w:p>
    <w:p w:rsidR="00D72D1B" w:rsidRDefault="00D72D1B" w:rsidP="00D72D1B">
      <w:pPr>
        <w:pStyle w:val="KeinLeerraum"/>
      </w:pPr>
      <w:r>
        <w:t>Im Gegensatz erhalten die Crowdfunfing-Unterstützer, sofern der Kapitalstock über 200.000€ liegt, 1/3 des Gewinnes nach Steuern ausgezahlt.</w:t>
      </w:r>
    </w:p>
    <w:p w:rsidR="00E30FC6" w:rsidRDefault="00E30FC6" w:rsidP="00276845">
      <w:pPr>
        <w:pStyle w:val="KeinLeerraum"/>
      </w:pPr>
    </w:p>
    <w:p w:rsidR="00E30FC6" w:rsidRDefault="00E30FC6" w:rsidP="00276845">
      <w:pPr>
        <w:pStyle w:val="KeinLeerraum"/>
      </w:pPr>
    </w:p>
    <w:p w:rsidR="00E30FC6" w:rsidRDefault="00E30FC6" w:rsidP="00276845">
      <w:pPr>
        <w:pStyle w:val="KeinLeerraum"/>
      </w:pPr>
    </w:p>
    <w:p w:rsidR="00E30FC6" w:rsidRDefault="00E30FC6" w:rsidP="00276845">
      <w:pPr>
        <w:pStyle w:val="KeinLeerraum"/>
      </w:pPr>
    </w:p>
    <w:p w:rsidR="00E30FC6" w:rsidRDefault="00E30FC6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323E39" w:rsidP="00323E39">
      <w:pPr>
        <w:pStyle w:val="berschrift2"/>
      </w:pPr>
      <w:r>
        <w:t>Rentabilitätsvorschau</w:t>
      </w:r>
    </w:p>
    <w:p w:rsidR="00AD5265" w:rsidRDefault="00323E39" w:rsidP="00AD5265">
      <w:pPr>
        <w:pStyle w:val="StandardWeb"/>
        <w:spacing w:before="0" w:beforeAutospacing="0" w:after="0" w:afterAutospacing="0"/>
      </w:pPr>
      <w:r w:rsidRPr="00323E39">
        <w:rPr>
          <w:rFonts w:asciiTheme="minorHAnsi" w:hAnsiTheme="minorHAnsi" w:cs="Arial"/>
          <w:bCs/>
          <w:sz w:val="22"/>
          <w:szCs w:val="22"/>
        </w:rPr>
        <w:t>Gewinn- und Verlustrechnung (Detailplanung) sowie Liquiditätsvorschau</w:t>
      </w:r>
      <w:r w:rsidR="00AD5265">
        <w:rPr>
          <w:rFonts w:asciiTheme="minorHAnsi" w:hAnsiTheme="minorHAnsi" w:cs="Arial"/>
          <w:bCs/>
          <w:sz w:val="22"/>
          <w:szCs w:val="22"/>
        </w:rPr>
        <w:t xml:space="preserve"> </w:t>
      </w:r>
      <w:r w:rsidR="00AD5265">
        <w:rPr>
          <w:rFonts w:ascii="Arial" w:hAnsi="Arial" w:cs="Arial"/>
          <w:color w:val="000000"/>
          <w:sz w:val="19"/>
          <w:szCs w:val="19"/>
        </w:rPr>
        <w:t>(Details im Anhang)</w:t>
      </w:r>
    </w:p>
    <w:p w:rsidR="00323E39" w:rsidRPr="00323E39" w:rsidRDefault="00323E39" w:rsidP="00323E39">
      <w:pPr>
        <w:spacing w:after="0" w:line="240" w:lineRule="auto"/>
        <w:rPr>
          <w:rFonts w:eastAsia="Times New Roman" w:cs="Arial"/>
          <w:bCs/>
        </w:rPr>
      </w:pPr>
    </w:p>
    <w:p w:rsidR="00323E39" w:rsidRDefault="00323E39" w:rsidP="00276845">
      <w:pPr>
        <w:pStyle w:val="KeinLeerraum"/>
      </w:pPr>
    </w:p>
    <w:p w:rsidR="00323E39" w:rsidRDefault="00323E39" w:rsidP="00276845">
      <w:pPr>
        <w:pStyle w:val="KeinLeerraum"/>
      </w:pPr>
    </w:p>
    <w:p w:rsidR="00323E39" w:rsidRDefault="00FA0F5D" w:rsidP="00276845">
      <w:pPr>
        <w:pStyle w:val="KeinLeerraum"/>
      </w:pPr>
      <w:r>
        <w:rPr>
          <w:noProof/>
        </w:rPr>
        <w:lastRenderedPageBreak/>
        <w:drawing>
          <wp:inline distT="0" distB="0" distL="0" distR="0">
            <wp:extent cx="4881880" cy="7625080"/>
            <wp:effectExtent l="19050" t="0" r="0" b="0"/>
            <wp:docPr id="6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762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39" w:rsidRDefault="00323E39" w:rsidP="00276845">
      <w:pPr>
        <w:pStyle w:val="KeinLeerraum"/>
      </w:pPr>
    </w:p>
    <w:p w:rsidR="00D94436" w:rsidRDefault="00D94436" w:rsidP="00276845">
      <w:pPr>
        <w:pStyle w:val="KeinLeerraum"/>
      </w:pPr>
    </w:p>
    <w:sectPr w:rsidR="00D94436" w:rsidSect="00684C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405" w:rsidRDefault="00146405" w:rsidP="00C85282">
      <w:pPr>
        <w:pStyle w:val="KeinLeerraum"/>
      </w:pPr>
      <w:r>
        <w:separator/>
      </w:r>
    </w:p>
  </w:endnote>
  <w:endnote w:type="continuationSeparator" w:id="1">
    <w:p w:rsidR="00146405" w:rsidRDefault="00146405" w:rsidP="00C85282">
      <w:pPr>
        <w:pStyle w:val="KeinLeerraum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405" w:rsidRDefault="00146405" w:rsidP="00C85282">
      <w:pPr>
        <w:pStyle w:val="KeinLeerraum"/>
      </w:pPr>
      <w:r>
        <w:separator/>
      </w:r>
    </w:p>
  </w:footnote>
  <w:footnote w:type="continuationSeparator" w:id="1">
    <w:p w:rsidR="00146405" w:rsidRDefault="00146405" w:rsidP="00C85282">
      <w:pPr>
        <w:pStyle w:val="KeinLeerraum"/>
      </w:pPr>
      <w:r>
        <w:continuationSeparator/>
      </w:r>
    </w:p>
  </w:footnote>
  <w:footnote w:id="2">
    <w:p w:rsidR="007E1A92" w:rsidRDefault="007E1A92" w:rsidP="007E1A92">
      <w:pPr>
        <w:pStyle w:val="Funotentext"/>
      </w:pPr>
      <w:r>
        <w:rPr>
          <w:rStyle w:val="Funotenzeichen"/>
        </w:rPr>
        <w:footnoteRef/>
      </w:r>
      <w:r>
        <w:t xml:space="preserve"> Siehe das Crowdfunding Projekt unserer Geschäftsführer Fairnopoly: </w:t>
      </w:r>
      <w:hyperlink r:id="rId1" w:history="1">
        <w:r w:rsidRPr="00B57B7E">
          <w:rPr>
            <w:rStyle w:val="Hyperlink"/>
          </w:rPr>
          <w:t>http://www.startnext.de/fairnopoly</w:t>
        </w:r>
      </w:hyperlink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0D52"/>
    <w:multiLevelType w:val="hybridMultilevel"/>
    <w:tmpl w:val="48CE97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0C3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7C6B"/>
    <w:rsid w:val="001055F0"/>
    <w:rsid w:val="00146405"/>
    <w:rsid w:val="00186101"/>
    <w:rsid w:val="002022D7"/>
    <w:rsid w:val="00276845"/>
    <w:rsid w:val="00284E9C"/>
    <w:rsid w:val="00323E39"/>
    <w:rsid w:val="003E231A"/>
    <w:rsid w:val="004E2E88"/>
    <w:rsid w:val="00577C6B"/>
    <w:rsid w:val="00684CD2"/>
    <w:rsid w:val="00757E7D"/>
    <w:rsid w:val="00781E01"/>
    <w:rsid w:val="007869DE"/>
    <w:rsid w:val="007E1A92"/>
    <w:rsid w:val="007F0576"/>
    <w:rsid w:val="009F028C"/>
    <w:rsid w:val="00A64B88"/>
    <w:rsid w:val="00A7100D"/>
    <w:rsid w:val="00AD5265"/>
    <w:rsid w:val="00B07A85"/>
    <w:rsid w:val="00B25471"/>
    <w:rsid w:val="00C635C3"/>
    <w:rsid w:val="00C814A3"/>
    <w:rsid w:val="00C85282"/>
    <w:rsid w:val="00D008B9"/>
    <w:rsid w:val="00D6084A"/>
    <w:rsid w:val="00D72D1B"/>
    <w:rsid w:val="00D94436"/>
    <w:rsid w:val="00DF7250"/>
    <w:rsid w:val="00E02CFC"/>
    <w:rsid w:val="00E30FC6"/>
    <w:rsid w:val="00E649F2"/>
    <w:rsid w:val="00E76126"/>
    <w:rsid w:val="00F10208"/>
    <w:rsid w:val="00FA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4CD2"/>
  </w:style>
  <w:style w:type="paragraph" w:styleId="berschrift1">
    <w:name w:val="heading 1"/>
    <w:basedOn w:val="Standard"/>
    <w:next w:val="Standard"/>
    <w:link w:val="berschrift1Zchn"/>
    <w:uiPriority w:val="9"/>
    <w:qFormat/>
    <w:rsid w:val="00577C6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7C6B"/>
    <w:pPr>
      <w:keepNext/>
      <w:keepLines/>
      <w:numPr>
        <w:ilvl w:val="1"/>
        <w:numId w:val="2"/>
      </w:numPr>
      <w:spacing w:before="200" w:after="0"/>
      <w:ind w:left="74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7C6B"/>
    <w:pPr>
      <w:keepNext/>
      <w:keepLines/>
      <w:numPr>
        <w:ilvl w:val="2"/>
        <w:numId w:val="2"/>
      </w:numPr>
      <w:spacing w:before="200" w:after="0"/>
      <w:ind w:left="10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7C6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7C6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7C6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7C6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7C6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7C6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77C6B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577C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77C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7C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7C6B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7C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7C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7C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7C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7C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7C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528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528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85282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8528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8B9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AD5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tahaus.de/preis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rtnext.de/fairnopoly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62989-FC7B-49D7-9887-5903D8C4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Soenke-eee</dc:creator>
  <cp:keywords/>
  <dc:description/>
  <cp:lastModifiedBy>Soenke-eee</cp:lastModifiedBy>
  <cp:revision>19</cp:revision>
  <dcterms:created xsi:type="dcterms:W3CDTF">2013-06-24T13:34:00Z</dcterms:created>
  <dcterms:modified xsi:type="dcterms:W3CDTF">2013-06-25T17:42:00Z</dcterms:modified>
</cp:coreProperties>
</file>