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jc w:val="center"/>
      </w:pPr>
      <w:r>
        <w:rPr>
          <w:rFonts w:ascii="Times New Roman" w:hAnsi="Times New Roman"/>
          <w:b/>
          <w:i w:val="0"/>
          <w:sz w:val="30"/>
        </w:rPr>
        <w:t>NGHIÊN CỨU, THIẾT KẾ VÀ TRIỂN KHAI HỆ THỐNG QUẢN TRỊ NĂNG LƯỢNG NHÀ THÔNG MINH TÍCH HỢP PLC SIEMENS S7-1200 VÀ TRÍ TUỆ NHÂN TẠO DỰ BÁO PHỤ TẢI</w:t>
      </w:r>
    </w:p>
    <w:p>
      <w:pPr>
        <w:spacing w:before="60" w:after="60" w:line="240" w:lineRule="auto"/>
        <w:jc w:val="center"/>
      </w:pPr>
      <w:r>
        <w:rPr>
          <w:rFonts w:ascii="Times New Roman" w:hAnsi="Times New Roman"/>
          <w:b w:val="0"/>
          <w:i/>
          <w:sz w:val="22"/>
        </w:rPr>
        <w:t>(Tiêu đề bài viết có tối đa 20 từ, phản ánh nội dung chính của nghiên cứu, không chứa từ viết tắt)</w:t>
      </w:r>
    </w:p>
    <w:p>
      <w:pPr>
        <w:spacing w:before="60" w:after="60" w:line="240" w:lineRule="auto"/>
        <w:jc w:val="both"/>
      </w:pPr>
    </w:p>
    <w:p>
      <w:pPr>
        <w:spacing w:before="60" w:after="60" w:line="240" w:lineRule="auto"/>
        <w:jc w:val="center"/>
      </w:pPr>
      <w:r>
        <w:rPr>
          <w:rFonts w:ascii="Times New Roman" w:hAnsi="Times New Roman"/>
          <w:b/>
          <w:i w:val="0"/>
          <w:sz w:val="24"/>
        </w:rPr>
        <w:t>Họ và Tên Tác Giả 1*, Họ và Tên Tác Giả 2</w:t>
      </w:r>
    </w:p>
    <w:p>
      <w:pPr>
        <w:spacing w:before="60" w:after="60" w:line="240" w:lineRule="auto"/>
        <w:jc w:val="center"/>
      </w:pPr>
      <w:r>
        <w:rPr>
          <w:rFonts w:ascii="Times New Roman" w:hAnsi="Times New Roman"/>
          <w:b w:val="0"/>
          <w:i/>
          <w:sz w:val="22"/>
        </w:rPr>
        <w:t>1 Khoa Điện - Điện tử, Trường Đại học Kỹ thuật - Công nghệ Cần Thơ</w:t>
      </w:r>
    </w:p>
    <w:p>
      <w:pPr>
        <w:spacing w:before="60" w:after="60" w:line="240" w:lineRule="auto"/>
        <w:jc w:val="center"/>
      </w:pPr>
      <w:r>
        <w:rPr>
          <w:rFonts w:ascii="Times New Roman" w:hAnsi="Times New Roman"/>
          <w:b w:val="0"/>
          <w:i/>
          <w:sz w:val="22"/>
        </w:rPr>
        <w:t>2 Khoa Công nghệ Thông tin, Trường Đại học Kỹ thuật - Công nghệ Cần Thơ</w:t>
      </w:r>
    </w:p>
    <w:p>
      <w:pPr>
        <w:spacing w:before="60" w:after="60" w:line="240" w:lineRule="auto"/>
        <w:jc w:val="center"/>
      </w:pPr>
      <w:r>
        <w:rPr>
          <w:rFonts w:ascii="Times New Roman" w:hAnsi="Times New Roman"/>
          <w:b w:val="0"/>
          <w:i w:val="0"/>
          <w:sz w:val="22"/>
        </w:rPr>
        <w:t>Tác giả liên hệ: email_tac_gia_chinh@ctuet.edu.vn</w:t>
      </w:r>
    </w:p>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Thông tin chung</w:t>
              <w:br/>
            </w:r>
            <w:r>
              <w:rPr>
                <w:rFonts w:ascii="Times New Roman" w:hAnsi="Times New Roman"/>
                <w:b w:val="0"/>
                <w:i w:val="0"/>
                <w:sz w:val="20"/>
              </w:rPr>
              <w:t>Ngày nhận bài: .../.../2026</w:t>
              <w:br/>
              <w:t>Ngày nhận bài sửa: .../.../2026</w:t>
              <w:br/>
              <w:t>Ngày duyệt đăng: .../.../2026</w:t>
              <w:br/>
              <w:br/>
            </w:r>
            <w:r>
              <w:rPr>
                <w:rFonts w:ascii="Times New Roman" w:hAnsi="Times New Roman"/>
                <w:b/>
                <w:i w:val="0"/>
                <w:sz w:val="21"/>
              </w:rPr>
              <w:t>Từ khóa:</w:t>
              <w:br/>
            </w:r>
            <w:r>
              <w:rPr>
                <w:rFonts w:ascii="Times New Roman" w:hAnsi="Times New Roman"/>
                <w:b w:val="0"/>
                <w:i/>
                <w:sz w:val="20"/>
              </w:rPr>
              <w:t>dự báo phụ tải, HEMS, nhà thông minh, PLC S7-1200, sa thải phụ tải, Supabase</w:t>
            </w:r>
          </w:p>
        </w:tc>
        <w:tc>
          <w:tcPr>
            <w:tcW w:type="dxa" w:w="4819"/>
            <w:tcMar>
              <w:top w:w="140" w:type="dxa"/>
              <w:bottom w:w="140" w:type="dxa"/>
              <w:left w:w="140" w:type="dxa"/>
              <w:right w:w="140" w:type="dxa"/>
            </w:tcMar>
          </w:tcPr>
          <w:p>
            <w:r>
              <w:t>TÓM TẮT</w:t>
              <w:br/>
              <w:t>Bài báo trình bày giải pháp quản lý năng lượng nhà thông minh HEMS tích hợp phần cứng PLC Siemens S7-1200, đồng hồ MFM384 qua Modbus RTU và CSDL đám mây Supabase PostgreSQL. Hệ thống sử dụng Flask Backend làm trung gian, kết nối qua giao thức S7 Protocol và Cloudflare Tunnel tới ứng dụng di động React Native. Để tăng tính hiệu quả, nghiên cứu đề xuất ứng dụng thuật toán học máy XGBoost và Random Forest để dự báo phụ tải điện 24h, đồng thời triển khai thuật toán sa thải tải phi thiết yếu chủ động khi mức tiêu thụ kWh tiệm cận hạn mức Quota thiết lập. Kết quả thực nghiệm trên mô hình thực tế cho thấy hệ thống vận hành ổn định, đồng bộ trạng thái hai chiều có độ trễ cực thấp, mô hình dự báo phụ tải AI đạt hệ số xác định R² &gt;= 0.94, giúp tối ưu hóa hiệu quả sử dụng năng lượng hộ gia đình.</w:t>
            </w:r>
          </w:p>
        </w:tc>
      </w:tr>
    </w:tbl>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Title:</w:t>
              <w:br/>
            </w:r>
            <w:r>
              <w:rPr>
                <w:rFonts w:ascii="Times New Roman" w:hAnsi="Times New Roman"/>
                <w:b w:val="0"/>
                <w:i/>
                <w:sz w:val="20"/>
              </w:rPr>
              <w:t>Research, Design, and Implementation of a Smart Home Energy Management System Integrating Siemens S7-1200 PLC and AI-based Load Forecasting</w:t>
              <w:br/>
              <w:br/>
            </w:r>
            <w:r>
              <w:rPr>
                <w:rFonts w:ascii="Times New Roman" w:hAnsi="Times New Roman"/>
                <w:b/>
                <w:i w:val="0"/>
                <w:sz w:val="21"/>
              </w:rPr>
              <w:t>Keywords:</w:t>
              <w:br/>
            </w:r>
            <w:r>
              <w:rPr>
                <w:rFonts w:ascii="Times New Roman" w:hAnsi="Times New Roman"/>
                <w:b w:val="0"/>
                <w:i/>
                <w:sz w:val="20"/>
              </w:rPr>
              <w:t>HEMS, load forecasting, load shedding, PLC S7-1200, smart home, Supabase</w:t>
            </w:r>
          </w:p>
        </w:tc>
        <w:tc>
          <w:tcPr>
            <w:tcW w:type="dxa" w:w="4819"/>
            <w:tcMar>
              <w:top w:w="140" w:type="dxa"/>
              <w:bottom w:w="140" w:type="dxa"/>
              <w:left w:w="140" w:type="dxa"/>
              <w:right w:w="140" w:type="dxa"/>
            </w:tcMar>
          </w:tcPr>
          <w:p>
            <w:r>
              <w:t>ABSTRACT</w:t>
              <w:br/>
              <w:t>This study presents an Edge-Cloud Home Energy Management System (HEMS) integrating industrial-grade Siemens S7-1200 PLC and MFM384 energy meter via Modbus RTU. A Python Flask API Gateway manages auth and links to Supabase Cloud PostgreSQL database and React Native mobile application using S7 Protocol. XGBoost and Random Forest algorithms are trained on the UCI household energy consumption dataset to forecast 24-hour electricity usage, while an active HEMS load-shedding control algorithm is developed to automatically trip non-essential high-power devices (AC, outlets, fans) when electricity consumption approaches the home's monthly Quota limit. Experimental results demonstrate stable bidirectional operation, low communication latency, and high forecasting accuracy (R² &gt;= 0.94), providing a reliable prototype for household demand response.</w:t>
            </w:r>
          </w:p>
        </w:tc>
      </w:tr>
    </w:tbl>
    <w:p>
      <w:pPr>
        <w:spacing w:before="60" w:after="60" w:line="240" w:lineRule="auto"/>
        <w:jc w:val="both"/>
      </w:pPr>
    </w:p>
    <w:p>
      <w:pPr>
        <w:sectPr>
          <w:pgSz w:w="11906" w:h="16838"/>
          <w:pgMar w:top="1134" w:right="1134" w:bottom="1701" w:left="1134" w:header="720" w:footer="720" w:gutter="0"/>
          <w:cols w:space="720"/>
          <w:docGrid w:linePitch="360"/>
        </w:sectPr>
      </w:pPr>
    </w:p>
    <w:p>
      <w:pPr>
        <w:keepNext/>
        <w:spacing w:before="60" w:after="60" w:line="240" w:lineRule="auto"/>
        <w:jc w:val="left"/>
      </w:pPr>
      <w:r>
        <w:rPr>
          <w:rFonts w:ascii="Times New Roman" w:hAnsi="Times New Roman"/>
          <w:b/>
          <w:i w:val="0"/>
          <w:sz w:val="24"/>
        </w:rPr>
        <w:t>1. ĐẶT VẤN ĐỀ</w:t>
      </w:r>
    </w:p>
    <w:p>
      <w:pPr>
        <w:spacing w:before="60" w:after="60" w:line="240" w:lineRule="auto"/>
        <w:ind w:firstLine="283"/>
        <w:jc w:val="both"/>
      </w:pPr>
      <w:r>
        <w:rPr>
          <w:rFonts w:ascii="Times New Roman" w:hAnsi="Times New Roman"/>
          <w:b w:val="0"/>
          <w:i w:val="0"/>
          <w:sz w:val="24"/>
        </w:rPr>
        <w:t>Trong bối cảnh chi phí điện sinh hoạt gia tăng và yêu cầu tối ưu hóa năng lượng lưới điện, quản lý năng lượng hộ gia đình (HEMS) đóng vai trò then chốt trong hạ tầng lưới điện thông minh [1]. Mặc dù các hệ thống nhà thông minh thương mại ngày càng phát triển, hầu hết chỉ dừng lại ở tính năng điều khiển bật/tắt thiết bị hoặc hẹn giờ đơn giản. Chúng hoàn toàn thiếu khả năng đo lường thời gian thực các chỉ số tiêu thụ điện (như dòng điện, công suất tức thời) và dự báo xu hướng tiêu thụ [2]. Bên cạnh đó, việc sử dụng các vi điều khiển cấp độ dân dụng (như ESP8266, ESP32) làm lõi xử lý gây ra nhiều rủi ro về độ tin cậy và khả năng chống nhiễu khi vận hành lâu dài trong tủ điện gia đình [3].</w:t>
      </w:r>
    </w:p>
    <w:p>
      <w:pPr>
        <w:spacing w:before="60" w:after="60" w:line="240" w:lineRule="auto"/>
        <w:ind w:firstLine="283"/>
        <w:jc w:val="both"/>
      </w:pPr>
      <w:r>
        <w:rPr>
          <w:rFonts w:ascii="Times New Roman" w:hAnsi="Times New Roman"/>
        </w:rPr>
        <w:t>Đề tài này đề xuất thiết kế một hệ thống HEMS khép kín đáp ứng độ bền công nghiệp và tính thông minh của AI. Hệ thống sử dụng PLC Siemens S7-1200 làm bộ điều khiển trung tâm kết hợp với đồng hồ đa năng MFM384 qua Modbus RTU. Một API Gateway trung gian Flask kết hợp thư viện python-snap7 truyền thông bằng giao thức S7 Protocol TCP/IP được dựng lên để kết nối an toàn với cơ sở dữ liệu Supabase PostgreSQL Cloud và ứng dụng di động React Native. Hệ thống tích hợp thuật toán học máy XGBoost để dự báo phụ tải 24h tiếp theo và thuật toán sa thải tải chủ động (Demand Response) để tự động ngắt thiết bị công suất lớn khi sắp vượt hạn mức Quota đã đăng ký [7].</w:t>
      </w:r>
    </w:p>
    <w:p>
      <w:pPr>
        <w:keepNext/>
        <w:spacing w:before="60" w:after="60" w:line="240" w:lineRule="auto"/>
        <w:jc w:val="left"/>
      </w:pPr>
      <w:r>
        <w:rPr>
          <w:rFonts w:ascii="Times New Roman" w:hAnsi="Times New Roman"/>
          <w:b/>
          <w:i w:val="0"/>
          <w:sz w:val="24"/>
        </w:rPr>
        <w:t>2. CƠ SỞ LÝ THUYẾT/ MÔ HÌNH/ PHƯƠNG PHÁP NGHIÊN CỨU</w:t>
      </w:r>
    </w:p>
    <w:p>
      <w:pPr>
        <w:keepNext/>
        <w:spacing w:before="60" w:after="60" w:line="240" w:lineRule="auto"/>
        <w:jc w:val="left"/>
      </w:pPr>
      <w:r>
        <w:rPr>
          <w:rFonts w:ascii="Times New Roman" w:hAnsi="Times New Roman"/>
          <w:b/>
          <w:i w:val="0"/>
          <w:sz w:val="24"/>
        </w:rPr>
        <w:t>2.1. Kiến trúc hệ thống HEMS Edge-Cloud</w:t>
      </w:r>
    </w:p>
    <w:p>
      <w:pPr>
        <w:spacing w:before="60" w:after="60" w:line="240" w:lineRule="auto"/>
        <w:ind w:firstLine="283"/>
        <w:jc w:val="both"/>
      </w:pPr>
      <w:r>
        <w:rPr>
          <w:rFonts w:ascii="Times New Roman" w:hAnsi="Times New Roman"/>
        </w:rPr>
        <w:t>Hệ thống HEMS được thiết kế dựa trên cấu trúc phân lớp Edge-Cloud để đảm bảo tính thời gian thực ở biên (Edge) và khả năng lưu trữ, xử lý thông minh trên đám mây (Cloud). Sơ đồ kiến trúc tổng thể được thể hiện trong Hình 1. Dữ liệu điện năng từ đồng hồ đo MFM384 được truyền về PLC qua Modbus RTU, sau đó Flask Backend đọc trực tiếp qua giao thức S7 Protocol và cập nhật lên CSDL đám mây Supabase PostgreSQL. Tại tầng Cloud, hệ thống hỗ trợ gửi thêm tin nhắn SMS cảnh báo khẩn cấp đến số điện thoại của chủ hộ qua tích hợp API Gateway.</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1: Sơ đồ kiến trúc tổng thể Edge-Cloud HEMS</w:t>
              <w:br/>
              <w:t>(Vẽ sơ đồ phân lớp: Lớp thiết bị (PLC, MFM384, Contactor) -&gt; Lớp Edge Gateway (Flask Server, Snap7) -&gt; Lớp Cloud Database (Supabase PostgreSQL) -&gt; Lớp App/Web giám sát)</w:t>
            </w:r>
          </w:p>
        </w:tc>
      </w:tr>
    </w:tbl>
    <w:p>
      <w:pPr>
        <w:spacing w:before="40" w:after="40" w:line="240" w:lineRule="auto"/>
        <w:jc w:val="both"/>
      </w:pPr>
    </w:p>
    <w:p>
      <w:pPr>
        <w:spacing w:before="60" w:after="60" w:line="240" w:lineRule="auto"/>
        <w:jc w:val="center"/>
      </w:pPr>
      <w:r>
        <w:rPr>
          <w:rFonts w:ascii="Times New Roman" w:hAnsi="Times New Roman"/>
          <w:b/>
          <w:i w:val="0"/>
          <w:sz w:val="24"/>
        </w:rPr>
        <w:t>Hình 1. Sơ đồ kiến trúc tổng thể Edge-Cloud và luồng truyền tín hiệu hệ thống HEMS</w:t>
      </w:r>
    </w:p>
    <w:p>
      <w:pPr>
        <w:keepNext/>
        <w:spacing w:before="240" w:after="120"/>
        <w:ind w:firstLine="0"/>
        <w:jc w:val="center"/>
      </w:pPr>
      <w:r>
        <w:rPr>
          <w:rFonts w:ascii="Times New Roman" w:hAnsi="Times New Roman"/>
          <w:b/>
          <w:sz w:val="22"/>
          <w:rFonts w:ascii="Times New Roman" w:hAnsi="Times New Roman" w:cs="Times New Roman" w:eastAsia="Times New Roman"/>
        </w:rPr>
        <w:t>Bảng 1. So sánh đặc tính của hệ thống HEMS đề xuất với các nghiên cứu liên quan</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tcMar>
              <w:top w:w="120" w:type="dxa"/>
              <w:bottom w:w="120" w:type="dxa"/>
              <w:left w:w="120" w:type="dxa"/>
              <w:right w:w="120" w:type="dxa"/>
            </w:tcMar>
          </w:tcPr>
          <w:p>
            <w:pPr>
              <w:spacing w:before="60" w:after="60"/>
              <w:ind w:firstLine="0"/>
              <w:jc w:val="both"/>
            </w:pPr>
            <w:r/>
            <w:r>
              <w:rPr>
                <w:rFonts w:ascii="Times New Roman" w:hAnsi="Times New Roman"/>
                <w:b/>
                <w:sz w:val="21"/>
                <w:rFonts w:ascii="Times New Roman" w:hAnsi="Times New Roman" w:cs="Times New Roman" w:eastAsia="Times New Roman"/>
              </w:rPr>
              <w:t>Tiêu chí so sánh</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b/>
                <w:sz w:val="21"/>
                <w:rFonts w:ascii="Times New Roman" w:hAnsi="Times New Roman" w:cs="Times New Roman" w:eastAsia="Times New Roman"/>
              </w:rPr>
              <w:t>HEMS đề xuất</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b/>
                <w:sz w:val="21"/>
                <w:rFonts w:ascii="Times New Roman" w:hAnsi="Times New Roman" w:cs="Times New Roman" w:eastAsia="Times New Roman"/>
              </w:rPr>
              <w:t>HEMS dân dụng thông thường [11], [25]</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b/>
                <w:sz w:val="21"/>
                <w:rFonts w:ascii="Times New Roman" w:hAnsi="Times New Roman" w:cs="Times New Roman" w:eastAsia="Times New Roman"/>
              </w:rPr>
              <w:t>Nghiên cứu mô phỏng AI [3], [5]</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b/>
                <w:sz w:val="21"/>
                <w:rFonts w:ascii="Times New Roman" w:hAnsi="Times New Roman" w:cs="Times New Roman" w:eastAsia="Times New Roman"/>
              </w:rPr>
              <w:t>Nghiên cứu SCADA công nghiệp [14], [21]</w:t>
            </w:r>
          </w:p>
        </w:tc>
      </w:tr>
      <w:tr>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Thiết bị điều khiển</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PLC Siemens S7-1200 (Công nghiệp)</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ESP32, Arduino, Raspberry Pi</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Không có (Mô phỏng)</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PLC Siemens S7-1200/S7-300</w:t>
            </w:r>
          </w:p>
        </w:tc>
      </w:tr>
      <w:tr>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Đóng cắt tải vật lý</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Contactor động lực cách ly an toàn (32A/63A)</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Relay nhỏ 10A tích hợp trên board mạch in</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Không có</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Contactor/Máy cắt động lực công nghiệp</w:t>
            </w:r>
          </w:p>
        </w:tc>
      </w:tr>
      <w:tr>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Độ tin cậy vận hành</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Rất cao (Chạy 24/7, chống nhiễu, liên động cứng)</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Thấp (Dễ treo mạch, nguy cơ quá tải nhiệt)</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N/A</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Rất cao (Vận hành trạm tiêu chuẩn công nghiệp)</w:t>
            </w:r>
          </w:p>
        </w:tc>
      </w:tr>
      <w:tr>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Giải thuật tối ưu</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XGBoost dự báo + Sa thải tải theo quota thực tế</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Hẹn giờ đóng cắt tĩnh (Static Rules)</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Học tăng cường DQN/RL (Chỉ chạy mô phỏng)</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Đóng cắt theo ngưỡng công suất tĩnh (Static)</w:t>
            </w:r>
          </w:p>
        </w:tc>
      </w:tr>
      <w:tr>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Bảo mật &amp; Phân quyền</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Phân quyền 3 cấp (Admin/Owner/Member), Audit logs</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Không có hoặc chỉ bảo mật Wi-Fi cơ bản</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Không xét đến</w:t>
            </w:r>
          </w:p>
        </w:tc>
        <w:tc>
          <w:tcPr>
            <w:tcW w:type="dxa" w:w="1860"/>
            <w:tcMar>
              <w:top w:w="120" w:type="dxa"/>
              <w:bottom w:w="120" w:type="dxa"/>
              <w:left w:w="120" w:type="dxa"/>
              <w:right w:w="120" w:type="dxa"/>
            </w:tcMar>
          </w:tcPr>
          <w:p>
            <w:pPr>
              <w:spacing w:before="60" w:after="60"/>
              <w:ind w:firstLine="0"/>
              <w:jc w:val="both"/>
            </w:pPr>
            <w:r/>
            <w:r>
              <w:rPr>
                <w:rFonts w:ascii="Times New Roman" w:hAnsi="Times New Roman"/>
                <w:sz w:val="20"/>
                <w:rFonts w:ascii="Times New Roman" w:hAnsi="Times New Roman" w:cs="Times New Roman" w:eastAsia="Times New Roman"/>
              </w:rPr>
              <w:t>Phân quyền vận hành trạm SCADA cơ bản</w:t>
            </w:r>
          </w:p>
        </w:tc>
      </w:tr>
    </w:tbl>
    <w:p>
      <w:pPr>
        <w:spacing w:before="0" w:after="120"/>
      </w:pPr>
    </w:p>
    <w:p>
      <w:pPr>
        <w:keepNext/>
        <w:spacing w:before="60" w:after="60" w:line="240" w:lineRule="auto"/>
        <w:jc w:val="left"/>
      </w:pPr>
      <w:r>
        <w:rPr>
          <w:rFonts w:ascii="Times New Roman" w:hAnsi="Times New Roman"/>
          <w:b/>
          <w:i w:val="0"/>
          <w:sz w:val="24"/>
        </w:rPr>
        <w:t>2.2. Thiết kế phần cứng và lập trình điều khiển PLC S7-1200</w:t>
      </w:r>
    </w:p>
    <w:p>
      <w:pPr>
        <w:spacing w:before="60" w:after="60" w:line="240" w:lineRule="auto"/>
        <w:ind w:firstLine="283"/>
        <w:jc w:val="both"/>
      </w:pPr>
      <w:r>
        <w:rPr>
          <w:rFonts w:ascii="Times New Roman" w:hAnsi="Times New Roman"/>
          <w:b w:val="0"/>
          <w:i w:val="0"/>
          <w:sz w:val="24"/>
        </w:rPr>
        <w:t>Phần cứng cốt lõi gồm PLC Siemens S7-1200 CPU 1215C DC/DC/DC kết hợp đồng hồ điện công nghiệp Selec MFM384. Chương trình điều khiển trên TIA Portal V17 cấu hình khối Modbus_Master để đọc liên tục điện năng. Chúng tôi thiết lập Data Block DB7 làm vùng nhớ nhận lệnh điều khiển từ API (Command) và DB1 làm vùng nhớ đồng bộ trạng thái thực tế (Status) [10]. Để đồng bộ trạng thái giữa nút nhấn vật lý tại tủ và App, lệnh điều khiển được gửi dưới dạng xung Pulse Command 200ms để tránh xung đột ghi đè dữ liệu (Closed-loop State Feedback). Các biến địa chỉ và thanh ghi được quy hoạch chi tiết như trong Bảng 1. Sơ đồ nguyên lý mạch động lực và điều khiển được chỉ ra trong Hình 2.</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2: Sơ đồ nguyên lý mạch điện động lực và điều khiển tủ HEMS</w:t>
              <w:br/>
              <w:t>(Vẽ sơ đồ đấu nối: Cảm biến mức/Dòng điện từ lưới qua MFM384, module RS485 đấu Modbus PLC S7-1200, các ngõ ra DO kích cuộn hút Contactor bật tắt phụ tải mô phỏng AC, quạt, đèn)</w:t>
            </w:r>
          </w:p>
        </w:tc>
      </w:tr>
    </w:tbl>
    <w:p>
      <w:pPr>
        <w:spacing w:before="40" w:after="40" w:line="240" w:lineRule="auto"/>
        <w:jc w:val="both"/>
      </w:pPr>
    </w:p>
    <w:p>
      <w:pPr>
        <w:spacing w:before="60" w:after="60" w:line="240" w:lineRule="auto"/>
        <w:jc w:val="center"/>
      </w:pPr>
      <w:r>
        <w:rPr>
          <w:rFonts w:ascii="Times New Roman" w:hAnsi="Times New Roman"/>
          <w:b/>
          <w:i w:val="0"/>
          <w:sz w:val="24"/>
        </w:rPr>
        <w:t>Hình 2. Sơ đồ nguyên lý mạch điện động lực &amp; điều khiển của tủ HEMS</w:t>
      </w:r>
    </w:p>
    <w:p>
      <w:pPr>
        <w:keepNext/>
        <w:spacing w:before="60" w:after="60" w:line="240" w:lineRule="auto"/>
        <w:jc w:val="center"/>
      </w:pPr>
      <w:r>
        <w:rPr>
          <w:rFonts w:ascii="Times New Roman" w:hAnsi="Times New Roman"/>
        </w:rPr>
        <w:t>Bảng 2. Ánh xạ địa chỉ thanh ghi Modbus MFM384 và cấu trúc Data Block DB1, DB7 trên PLC</w:t>
      </w:r>
    </w:p>
    <w:tbl>
      <w:tblPr>
        <w:tblW w:type="auto" w:w="0"/>
        <w:jc w:val="center"/>
        <w:tblLayout w:type="autofit"/>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24"/>
        <w:gridCol w:w="2324"/>
        <w:gridCol w:w="2324"/>
        <w:gridCol w:w="2324"/>
      </w:tblGrid>
      <w:tr>
        <w:tc>
          <w:tcPr>
            <w:tcW w:type="dxa" w:w="2324"/>
            <w:tcMar>
              <w:top w:w="100" w:type="dxa"/>
              <w:bottom w:w="100" w:type="dxa"/>
              <w:left w:w="100" w:type="dxa"/>
              <w:right w:w="100" w:type="dxa"/>
            </w:tcMar>
            <w:shd w:fill="F2F2F2"/>
          </w:tcPr>
          <w:p>
            <w:pPr>
              <w:jc w:val="center"/>
            </w:pPr>
            <w:r>
              <w:rPr>
                <w:rFonts w:ascii="Times New Roman" w:hAnsi="Times New Roman"/>
                <w:b/>
                <w:i w:val="0"/>
                <w:sz w:val="22"/>
              </w:rPr>
              <w:t>Thiết bị / Khối</w:t>
            </w:r>
          </w:p>
        </w:tc>
        <w:tc>
          <w:tcPr>
            <w:tcW w:type="dxa" w:w="2324"/>
            <w:tcMar>
              <w:top w:w="100" w:type="dxa"/>
              <w:bottom w:w="100" w:type="dxa"/>
              <w:left w:w="100" w:type="dxa"/>
              <w:right w:w="100" w:type="dxa"/>
            </w:tcMar>
            <w:shd w:fill="F2F2F2"/>
          </w:tcPr>
          <w:p>
            <w:pPr>
              <w:jc w:val="center"/>
            </w:pPr>
            <w:r>
              <w:rPr>
                <w:rFonts w:ascii="Times New Roman" w:hAnsi="Times New Roman"/>
                <w:b/>
                <w:i w:val="0"/>
                <w:sz w:val="22"/>
              </w:rPr>
              <w:t>Địa chỉ / Tag PLC</w:t>
            </w:r>
          </w:p>
        </w:tc>
        <w:tc>
          <w:tcPr>
            <w:tcW w:type="dxa" w:w="2324"/>
            <w:tcMar>
              <w:top w:w="100" w:type="dxa"/>
              <w:bottom w:w="100" w:type="dxa"/>
              <w:left w:w="100" w:type="dxa"/>
              <w:right w:w="100" w:type="dxa"/>
            </w:tcMar>
            <w:shd w:fill="F2F2F2"/>
          </w:tcPr>
          <w:p>
            <w:pPr>
              <w:jc w:val="center"/>
            </w:pPr>
            <w:r>
              <w:rPr>
                <w:rFonts w:ascii="Times New Roman" w:hAnsi="Times New Roman"/>
                <w:b/>
                <w:i w:val="0"/>
                <w:sz w:val="22"/>
              </w:rPr>
              <w:t>Kiểu dữ liệu</w:t>
            </w:r>
          </w:p>
        </w:tc>
        <w:tc>
          <w:tcPr>
            <w:tcW w:type="dxa" w:w="2324"/>
            <w:tcMar>
              <w:top w:w="100" w:type="dxa"/>
              <w:bottom w:w="100" w:type="dxa"/>
              <w:left w:w="100" w:type="dxa"/>
              <w:right w:w="100" w:type="dxa"/>
            </w:tcMar>
            <w:shd w:fill="F2F2F2"/>
          </w:tcPr>
          <w:p>
            <w:pPr>
              <w:jc w:val="center"/>
            </w:pPr>
            <w:r>
              <w:rPr>
                <w:rFonts w:ascii="Times New Roman" w:hAnsi="Times New Roman"/>
                <w:b/>
                <w:i w:val="0"/>
                <w:sz w:val="22"/>
              </w:rPr>
              <w:t>Mô tả vai trò</w:t>
            </w:r>
          </w:p>
        </w:tc>
      </w:tr>
      <w:tr>
        <w:tc>
          <w:tcPr>
            <w:tcW w:type="dxa" w:w="2324"/>
            <w:tcMar>
              <w:top w:w="100" w:type="dxa"/>
              <w:bottom w:w="100" w:type="dxa"/>
              <w:left w:w="100" w:type="dxa"/>
              <w:right w:w="100" w:type="dxa"/>
            </w:tcMar>
          </w:tcPr>
          <w:p>
            <w:r>
              <w:rPr>
                <w:rFonts w:ascii="Times New Roman" w:hAnsi="Times New Roman"/>
                <w:b w:val="0"/>
                <w:i w:val="0"/>
                <w:sz w:val="21"/>
              </w:rPr>
              <w:t>MFM384 (Modbus)</w:t>
            </w:r>
          </w:p>
        </w:tc>
        <w:tc>
          <w:tcPr>
            <w:tcW w:type="dxa" w:w="2324"/>
            <w:tcMar>
              <w:top w:w="100" w:type="dxa"/>
              <w:bottom w:w="100" w:type="dxa"/>
              <w:left w:w="100" w:type="dxa"/>
              <w:right w:w="100" w:type="dxa"/>
            </w:tcMar>
          </w:tcPr>
          <w:p>
            <w:r>
              <w:rPr>
                <w:rFonts w:ascii="Times New Roman" w:hAnsi="Times New Roman"/>
                <w:b w:val="0"/>
                <w:i w:val="0"/>
                <w:sz w:val="21"/>
              </w:rPr>
              <w:t>30001 - 30008</w:t>
            </w:r>
          </w:p>
        </w:tc>
        <w:tc>
          <w:tcPr>
            <w:tcW w:type="dxa" w:w="2324"/>
            <w:tcMar>
              <w:top w:w="100" w:type="dxa"/>
              <w:bottom w:w="100" w:type="dxa"/>
              <w:left w:w="100" w:type="dxa"/>
              <w:right w:w="100" w:type="dxa"/>
            </w:tcMar>
          </w:tcPr>
          <w:p>
            <w:r>
              <w:rPr>
                <w:rFonts w:ascii="Times New Roman" w:hAnsi="Times New Roman"/>
                <w:b w:val="0"/>
                <w:i w:val="0"/>
                <w:sz w:val="21"/>
              </w:rPr>
              <w:t>Float (Real)</w:t>
            </w:r>
          </w:p>
        </w:tc>
        <w:tc>
          <w:tcPr>
            <w:tcW w:type="dxa" w:w="2324"/>
            <w:tcMar>
              <w:top w:w="100" w:type="dxa"/>
              <w:bottom w:w="100" w:type="dxa"/>
              <w:left w:w="100" w:type="dxa"/>
              <w:right w:w="100" w:type="dxa"/>
            </w:tcMar>
          </w:tcPr>
          <w:p>
            <w:r>
              <w:rPr>
                <w:rFonts w:ascii="Times New Roman" w:hAnsi="Times New Roman"/>
                <w:b w:val="0"/>
                <w:i w:val="0"/>
                <w:sz w:val="21"/>
              </w:rPr>
              <w:t>Đọc điện áp (V), dòng điện (I), công suất (kW), điện năng (kWh)</w:t>
            </w:r>
          </w:p>
        </w:tc>
      </w:tr>
      <w:tr>
        <w:tc>
          <w:tcPr>
            <w:tcW w:type="dxa" w:w="2324"/>
            <w:tcMar>
              <w:top w:w="100" w:type="dxa"/>
              <w:bottom w:w="100" w:type="dxa"/>
              <w:left w:w="100" w:type="dxa"/>
              <w:right w:w="100" w:type="dxa"/>
            </w:tcMar>
          </w:tcPr>
          <w:p>
            <w:r>
              <w:rPr>
                <w:rFonts w:ascii="Times New Roman" w:hAnsi="Times New Roman"/>
                <w:b w:val="0"/>
                <w:i w:val="0"/>
                <w:sz w:val="21"/>
              </w:rPr>
              <w:t>PLC DB7 (Command)</w:t>
            </w:r>
          </w:p>
        </w:tc>
        <w:tc>
          <w:tcPr>
            <w:tcW w:type="dxa" w:w="2324"/>
            <w:tcMar>
              <w:top w:w="100" w:type="dxa"/>
              <w:bottom w:w="100" w:type="dxa"/>
              <w:left w:w="100" w:type="dxa"/>
              <w:right w:w="100" w:type="dxa"/>
            </w:tcMar>
          </w:tcPr>
          <w:p>
            <w:r>
              <w:rPr>
                <w:rFonts w:ascii="Times New Roman" w:hAnsi="Times New Roman"/>
                <w:b w:val="0"/>
                <w:i w:val="0"/>
                <w:sz w:val="21"/>
              </w:rPr>
              <w:t>DB7.DBX0.0 - 0.7</w:t>
            </w:r>
          </w:p>
        </w:tc>
        <w:tc>
          <w:tcPr>
            <w:tcW w:type="dxa" w:w="2324"/>
            <w:tcMar>
              <w:top w:w="100" w:type="dxa"/>
              <w:bottom w:w="100" w:type="dxa"/>
              <w:left w:w="100" w:type="dxa"/>
              <w:right w:w="100" w:type="dxa"/>
            </w:tcMar>
          </w:tcPr>
          <w:p>
            <w:r>
              <w:rPr>
                <w:rFonts w:ascii="Times New Roman" w:hAnsi="Times New Roman"/>
                <w:b w:val="0"/>
                <w:i w:val="0"/>
                <w:sz w:val="21"/>
              </w:rPr>
              <w:t>Bool</w:t>
            </w:r>
          </w:p>
        </w:tc>
        <w:tc>
          <w:tcPr>
            <w:tcW w:type="dxa" w:w="2324"/>
            <w:tcMar>
              <w:top w:w="100" w:type="dxa"/>
              <w:bottom w:w="100" w:type="dxa"/>
              <w:left w:w="100" w:type="dxa"/>
              <w:right w:w="100" w:type="dxa"/>
            </w:tcMar>
          </w:tcPr>
          <w:p>
            <w:r>
              <w:rPr>
                <w:rFonts w:ascii="Times New Roman" w:hAnsi="Times New Roman"/>
                <w:b w:val="0"/>
                <w:i w:val="0"/>
                <w:sz w:val="21"/>
              </w:rPr>
              <w:t>Nhận xung lệnh điều khiển từ API (200ms)</w:t>
            </w:r>
          </w:p>
        </w:tc>
      </w:tr>
      <w:tr>
        <w:tc>
          <w:tcPr>
            <w:tcW w:type="dxa" w:w="2324"/>
            <w:tcMar>
              <w:top w:w="100" w:type="dxa"/>
              <w:bottom w:w="100" w:type="dxa"/>
              <w:left w:w="100" w:type="dxa"/>
              <w:right w:w="100" w:type="dxa"/>
            </w:tcMar>
          </w:tcPr>
          <w:p>
            <w:r>
              <w:rPr>
                <w:rFonts w:ascii="Times New Roman" w:hAnsi="Times New Roman"/>
                <w:b w:val="0"/>
                <w:i w:val="0"/>
                <w:sz w:val="21"/>
              </w:rPr>
              <w:t>PLC DB1 (Status)</w:t>
            </w:r>
          </w:p>
        </w:tc>
        <w:tc>
          <w:tcPr>
            <w:tcW w:type="dxa" w:w="2324"/>
            <w:tcMar>
              <w:top w:w="100" w:type="dxa"/>
              <w:bottom w:w="100" w:type="dxa"/>
              <w:left w:w="100" w:type="dxa"/>
              <w:right w:w="100" w:type="dxa"/>
            </w:tcMar>
          </w:tcPr>
          <w:p>
            <w:r>
              <w:rPr>
                <w:rFonts w:ascii="Times New Roman" w:hAnsi="Times New Roman"/>
                <w:b w:val="0"/>
                <w:i w:val="0"/>
                <w:sz w:val="21"/>
              </w:rPr>
              <w:t>DB1.DBX0.0 - 0.7</w:t>
            </w:r>
          </w:p>
        </w:tc>
        <w:tc>
          <w:tcPr>
            <w:tcW w:type="dxa" w:w="2324"/>
            <w:tcMar>
              <w:top w:w="100" w:type="dxa"/>
              <w:bottom w:w="100" w:type="dxa"/>
              <w:left w:w="100" w:type="dxa"/>
              <w:right w:w="100" w:type="dxa"/>
            </w:tcMar>
          </w:tcPr>
          <w:p>
            <w:r>
              <w:rPr>
                <w:rFonts w:ascii="Times New Roman" w:hAnsi="Times New Roman"/>
                <w:b w:val="0"/>
                <w:i w:val="0"/>
                <w:sz w:val="21"/>
              </w:rPr>
              <w:t>Bool</w:t>
            </w:r>
          </w:p>
        </w:tc>
        <w:tc>
          <w:tcPr>
            <w:tcW w:type="dxa" w:w="2324"/>
            <w:tcMar>
              <w:top w:w="100" w:type="dxa"/>
              <w:bottom w:w="100" w:type="dxa"/>
              <w:left w:w="100" w:type="dxa"/>
              <w:right w:w="100" w:type="dxa"/>
            </w:tcMar>
          </w:tcPr>
          <w:p>
            <w:r>
              <w:rPr>
                <w:rFonts w:ascii="Times New Roman" w:hAnsi="Times New Roman"/>
                <w:b w:val="0"/>
                <w:i w:val="0"/>
                <w:sz w:val="21"/>
              </w:rPr>
              <w:t>Phản hồi trạng thái đóng cắt của Relay/Nút nhấn vật lý</w:t>
            </w:r>
          </w:p>
        </w:tc>
      </w:tr>
    </w:tbl>
    <w:p>
      <w:pPr>
        <w:spacing w:before="60" w:after="60" w:line="240" w:lineRule="auto"/>
        <w:jc w:val="both"/>
      </w:pPr>
    </w:p>
    <w:p>
      <w:pPr>
        <w:keepNext/>
        <w:spacing w:before="240" w:after="120" w:line="240" w:lineRule="auto"/>
        <w:jc w:val="left"/>
      </w:pPr>
      <w:r/>
      <w:r>
        <w:rPr>
          <w:rFonts w:ascii="Times New Roman" w:hAnsi="Times New Roman"/>
          <w:b/>
          <w:sz w:val="26"/>
          <w:rFonts w:ascii="Times New Roman" w:hAnsi="Times New Roman" w:cs="Times New Roman" w:eastAsia="Times New Roman"/>
        </w:rPr>
        <w:t>2.3. Thiết kế phần mềm Backend, cơ sở dữ liệu Cloud và cơ chế phân quyền đa hộ gia đình</w:t>
      </w:r>
    </w:p>
    <w:p>
      <w:pPr>
        <w:spacing w:before="60" w:after="60" w:line="276" w:lineRule="auto"/>
        <w:ind w:firstLine="283"/>
        <w:jc w:val="both"/>
      </w:pPr>
      <w:r>
        <w:rPr>
          <w:rFonts w:ascii="Times New Roman" w:hAnsi="Times New Roman"/>
        </w:rPr>
        <w:t xml:space="preserve">Lớp Backend được lập trình bằng ngôn ngữ Python sử dụng framework Flask, đóng vai trò API Gateway trung tâm điều phối tất cả yêu cầu từ ứng dụng di động React Native và tương tác trực tiếp với PLC Siemens qua giao thức S7 Protocol. Nhằm đảm bảo an toàn thông tin và tính thực tế khi triển khai thương mại, nghiên cứu đề xuất giải pháp Phân quyền người dùng dựa trên vai trò (Role-Based Access Control - RBAC) kết hợp Phân tách dữ liệu đa hộ gia đình (Multi-tenancy Data Isolation): </w:t>
        <w:br/>
        <w:t>- Cơ chế Phân tách Đa hộ gia đình: Cơ sở dữ liệu đám mây Supabase PostgreSQL sử dụng khóa ngoại home_id trên tất cả các bảng chính bao gồm users, rooms, devices, power_readings và audit_logs. Hệ thống áp dụng chính sách bảo mật chặt chẽ để đảm bảo dữ liệu của một hộ gia đình hoàn toàn biệt lập; các yêu cầu truy vấn hoặc gửi lệnh điều khiển từ thiết bị di động bắt buộc phải đi kèm mã xác thực JWT (JSON Web Token) chứa home_id hợp lệ của người dùng đó, ngăn chặn hành vi can thiệp trái phép xuyên nhà.</w:t>
        <w:br/>
        <w:t>- Cơ chế Phân quyền theo 3 Cấp chức năng: (1) Cấp quản trị hệ thống (system_admin) có quyền tối cao để khởi tạo thông tin hộ gia đình (home_id mới), đăng ký tài khoản owner ban đầu, theo dõi hoạt động hệ thống. (2) Cấp chủ hộ (owner) được toàn quyền quản trị hộ gia đình của mình, thêm/xóa thành viên (member), thiết lập hạn mức Quota điện năng tiêu thụ tháng, cấu hình thiết bị và giám sát toàn bộ hoạt động trong nhà. (3) Cấp thành viên (member) chỉ có quyền giám sát trạng thái năng lượng hiện thời và điều khiển trực tiếp các thiết bị được gán trong phòng (bật/tắt đèn, quạt), không có quyền thay đổi thành viên khác hoặc cấu hình Quota hệ thống.</w:t>
        <w:br/>
        <w:t>Mỗi lệnh điều khiển đi qua API Gateway đều được xác thực JWT, kiểm tra quyền hạn tương ứng của vai trò đối với tài nguyên trước khi gửi mã điều khiển xuống PLC S7-1200, đồng thời ghi lại vết hành động vào bảng nhật ký audit_logs phục vụ giám sát an ninh. Giải pháp phân quyền này tương thích với quy trình phân cấp vận hành an toàn trong các hệ thống SCADA công nghiệp, giúp bảo vệ an toàn vật lý cho tiếp điểm của relay trung gian và contactor động lực/thiết bị điện trước các thao tác sai hỏng, đồng thời hỗ trợ quy trình khóa an toàn (Lockout/Tagout) cho các relay trung gian và contactor động lực.</w:t>
      </w:r>
    </w:p>
    <w:p>
      <w:pPr>
        <w:keepNext/>
        <w:spacing w:before="60" w:after="60" w:line="240" w:lineRule="auto"/>
        <w:jc w:val="left"/>
      </w:pPr>
      <w:r>
        <w:rPr>
          <w:rFonts w:ascii="Times New Roman" w:hAnsi="Times New Roman"/>
          <w:b/>
          <w:i w:val="0"/>
          <w:sz w:val="24"/>
        </w:rPr>
        <w:t>2.4. Thuật toán dự báo phụ tải và sa thải phụ tải chủ động (Active HEMS)</w:t>
      </w:r>
    </w:p>
    <w:p>
      <w:pPr>
        <w:spacing w:before="60" w:after="60" w:line="240" w:lineRule="auto"/>
        <w:ind w:firstLine="283"/>
        <w:jc w:val="both"/>
      </w:pPr>
      <w:r>
        <w:rPr>
          <w:rFonts w:ascii="Times New Roman" w:hAnsi="Times New Roman"/>
          <w:b w:val="0"/>
          <w:i w:val="0"/>
          <w:sz w:val="24"/>
        </w:rPr>
        <w:t>Mô hình AI dự báo phụ tải sử dụng giải thuật XGBoost [6] và Random Forest [7], huấn luyện ngoại tuyến trên tập dữ liệu UCI Household Electricity Consumption [18] chứa hơn 2 triệu dòng. Tín hiệu dự báo công suất cho 24 giờ tiếp theo được tính toán theo công thức (1) và (2).</w:t>
      </w:r>
    </w:p>
    <w:p>
      <w:pPr>
        <w:spacing w:before="120" w:after="120" w:line="240" w:lineRule="auto"/>
        <w:jc w:val="center"/>
      </w:pPr>
      <w:r/>
      <w:r>
        <w:rPr>
          <w:rFonts w:ascii="Times New Roman" w:hAnsi="Times New Roman"/>
          <w:b w:val="0"/>
          <w:i/>
          <w:sz w:val="24"/>
          <w:rFonts w:ascii="Times New Roman" w:hAnsi="Times New Roman" w:cs="Times New Roman" w:eastAsia="Times New Roman"/>
        </w:rPr>
        <w:t>E</w:t>
      </w:r>
      <w:r>
        <w:rPr>
          <w:rFonts w:ascii="Times New Roman" w:hAnsi="Times New Roman"/>
          <w:b w:val="0"/>
          <w:i w:val="0"/>
          <w:sz w:val="24"/>
          <w:vertAlign w:val="subscript"/>
          <w:rFonts w:ascii="Times New Roman" w:hAnsi="Times New Roman" w:cs="Times New Roman" w:eastAsia="Times New Roman"/>
        </w:rPr>
        <w:t>total</w:t>
      </w:r>
      <w:r>
        <w:rPr>
          <w:rFonts w:ascii="Times New Roman" w:hAnsi="Times New Roman"/>
          <w:b w:val="0"/>
          <w:i w:val="0"/>
          <w:sz w:val="24"/>
          <w:rFonts w:ascii="Times New Roman" w:hAnsi="Times New Roman" w:cs="Times New Roman" w:eastAsia="Times New Roman"/>
        </w:rPr>
        <w:t xml:space="preserve"> = </w:t>
      </w:r>
      <w:r>
        <w:rPr>
          <w:rFonts w:ascii="Times New Roman" w:hAnsi="Times New Roman"/>
          <w:b/>
          <w:i w:val="0"/>
          <w:sz w:val="24"/>
          <w:rFonts w:ascii="Times New Roman" w:hAnsi="Times New Roman" w:cs="Times New Roman" w:eastAsia="Times New Roman"/>
        </w:rPr>
        <w:t>Σ</w:t>
      </w:r>
      <w:r>
        <w:rPr>
          <w:rFonts w:ascii="Times New Roman" w:hAnsi="Times New Roman"/>
          <w:b w:val="0"/>
          <w:i/>
          <w:sz w:val="20"/>
          <w:rFonts w:ascii="Times New Roman" w:hAnsi="Times New Roman" w:cs="Times New Roman" w:eastAsia="Times New Roman"/>
        </w:rPr>
        <w:t xml:space="preserve"> (t=1 → N) </w:t>
      </w:r>
      <w:r>
        <w:rPr>
          <w:rFonts w:ascii="Times New Roman" w:hAnsi="Times New Roman"/>
          <w:b w:val="0"/>
          <w:i/>
          <w:sz w:val="24"/>
          <w:rFonts w:ascii="Times New Roman" w:hAnsi="Times New Roman" w:cs="Times New Roman" w:eastAsia="Times New Roman"/>
        </w:rPr>
        <w:t>P</w:t>
      </w:r>
      <w:r>
        <w:rPr>
          <w:rFonts w:ascii="Times New Roman" w:hAnsi="Times New Roman"/>
          <w:b w:val="0"/>
          <w:i w:val="0"/>
          <w:sz w:val="24"/>
          <w:vertAlign w:val="subscript"/>
          <w:rFonts w:ascii="Times New Roman" w:hAnsi="Times New Roman" w:cs="Times New Roman" w:eastAsia="Times New Roman"/>
        </w:rPr>
        <w:t>t</w:t>
      </w:r>
      <w:r>
        <w:rPr>
          <w:rFonts w:ascii="Times New Roman" w:hAnsi="Times New Roman"/>
          <w:b w:val="0"/>
          <w:i w:val="0"/>
          <w:sz w:val="24"/>
          <w:rFonts w:ascii="Times New Roman" w:hAnsi="Times New Roman" w:cs="Times New Roman" w:eastAsia="Times New Roman"/>
        </w:rPr>
        <w:t xml:space="preserve"> · Δt</w:t>
      </w:r>
      <w:r>
        <w:rPr>
          <w:rFonts w:ascii="Times New Roman" w:hAnsi="Times New Roman"/>
          <w:b/>
          <w:i w:val="0"/>
          <w:sz w:val="24"/>
          <w:rFonts w:ascii="Times New Roman" w:hAnsi="Times New Roman" w:cs="Times New Roman" w:eastAsia="Times New Roman"/>
        </w:rPr>
        <w:tab/>
        <w:tab/>
        <w:tab/>
        <w:tab/>
        <w:tab/>
        <w:tab/>
        <w:t>(1)</w:t>
      </w:r>
    </w:p>
    <w:p>
      <w:pPr>
        <w:spacing w:before="120" w:after="120" w:line="240" w:lineRule="auto"/>
        <w:jc w:val="center"/>
      </w:pPr>
      <w:r/>
      <w:r>
        <w:rPr>
          <w:rFonts w:ascii="Times New Roman" w:hAnsi="Times New Roman"/>
          <w:b w:val="0"/>
          <w:i/>
          <w:sz w:val="24"/>
          <w:rFonts w:ascii="Times New Roman" w:hAnsi="Times New Roman" w:cs="Times New Roman" w:eastAsia="Times New Roman"/>
        </w:rPr>
        <w:t>R</w:t>
      </w:r>
      <w:r>
        <w:rPr>
          <w:rFonts w:ascii="Times New Roman" w:hAnsi="Times New Roman"/>
          <w:b w:val="0"/>
          <w:i w:val="0"/>
          <w:sz w:val="24"/>
          <w:vertAlign w:val="superscript"/>
          <w:rFonts w:ascii="Times New Roman" w:hAnsi="Times New Roman" w:cs="Times New Roman" w:eastAsia="Times New Roman"/>
        </w:rPr>
        <w:t>2</w:t>
      </w:r>
      <w:r>
        <w:rPr>
          <w:rFonts w:ascii="Times New Roman" w:hAnsi="Times New Roman"/>
          <w:b w:val="0"/>
          <w:i w:val="0"/>
          <w:sz w:val="24"/>
          <w:rFonts w:ascii="Times New Roman" w:hAnsi="Times New Roman" w:cs="Times New Roman" w:eastAsia="Times New Roman"/>
        </w:rPr>
        <w:t xml:space="preserve"> = 1 - </w:t>
      </w:r>
      <w:r>
        <w:rPr>
          <w:rFonts w:ascii="Times New Roman" w:hAnsi="Times New Roman"/>
          <w:b w:val="0"/>
          <w:i w:val="0"/>
          <w:sz w:val="24"/>
          <w:rFonts w:ascii="Times New Roman" w:hAnsi="Times New Roman" w:cs="Times New Roman" w:eastAsia="Times New Roman"/>
        </w:rPr>
        <w:t>[Σ (y</w:t>
      </w:r>
      <w:r>
        <w:rPr>
          <w:rFonts w:ascii="Times New Roman" w:hAnsi="Times New Roman"/>
          <w:b w:val="0"/>
          <w:i w:val="0"/>
          <w:sz w:val="24"/>
          <w:vertAlign w:val="subscript"/>
          <w:rFonts w:ascii="Times New Roman" w:hAnsi="Times New Roman" w:cs="Times New Roman" w:eastAsia="Times New Roman"/>
        </w:rPr>
        <w:t>i</w:t>
      </w:r>
      <w:r>
        <w:rPr>
          <w:rFonts w:ascii="Times New Roman" w:hAnsi="Times New Roman"/>
          <w:b w:val="0"/>
          <w:i w:val="0"/>
          <w:sz w:val="24"/>
          <w:rFonts w:ascii="Times New Roman" w:hAnsi="Times New Roman" w:cs="Times New Roman" w:eastAsia="Times New Roman"/>
        </w:rPr>
        <w:t xml:space="preserve"> - ŷ</w:t>
      </w:r>
      <w:r>
        <w:rPr>
          <w:rFonts w:ascii="Times New Roman" w:hAnsi="Times New Roman"/>
          <w:b w:val="0"/>
          <w:i w:val="0"/>
          <w:sz w:val="24"/>
          <w:vertAlign w:val="subscript"/>
          <w:rFonts w:ascii="Times New Roman" w:hAnsi="Times New Roman" w:cs="Times New Roman" w:eastAsia="Times New Roman"/>
        </w:rPr>
        <w:t>i</w:t>
      </w:r>
      <w:r>
        <w:rPr>
          <w:rFonts w:ascii="Times New Roman" w:hAnsi="Times New Roman"/>
          <w:b w:val="0"/>
          <w:i w:val="0"/>
          <w:sz w:val="24"/>
          <w:rFonts w:ascii="Times New Roman" w:hAnsi="Times New Roman" w:cs="Times New Roman" w:eastAsia="Times New Roman"/>
        </w:rPr>
        <w:t>)</w:t>
      </w:r>
      <w:r>
        <w:rPr>
          <w:rFonts w:ascii="Times New Roman" w:hAnsi="Times New Roman"/>
          <w:b w:val="0"/>
          <w:i w:val="0"/>
          <w:sz w:val="24"/>
          <w:vertAlign w:val="superscript"/>
          <w:rFonts w:ascii="Times New Roman" w:hAnsi="Times New Roman" w:cs="Times New Roman" w:eastAsia="Times New Roman"/>
        </w:rPr>
        <w:t>2</w:t>
      </w:r>
      <w:r>
        <w:rPr>
          <w:rFonts w:ascii="Times New Roman" w:hAnsi="Times New Roman"/>
          <w:b w:val="0"/>
          <w:i w:val="0"/>
          <w:sz w:val="24"/>
          <w:rFonts w:ascii="Times New Roman" w:hAnsi="Times New Roman" w:cs="Times New Roman" w:eastAsia="Times New Roman"/>
        </w:rPr>
        <w:t>] / [Σ (y</w:t>
      </w:r>
      <w:r>
        <w:rPr>
          <w:rFonts w:ascii="Times New Roman" w:hAnsi="Times New Roman"/>
          <w:b w:val="0"/>
          <w:i w:val="0"/>
          <w:sz w:val="24"/>
          <w:vertAlign w:val="subscript"/>
          <w:rFonts w:ascii="Times New Roman" w:hAnsi="Times New Roman" w:cs="Times New Roman" w:eastAsia="Times New Roman"/>
        </w:rPr>
        <w:t>i</w:t>
      </w:r>
      <w:r>
        <w:rPr>
          <w:rFonts w:ascii="Times New Roman" w:hAnsi="Times New Roman"/>
          <w:b w:val="0"/>
          <w:i w:val="0"/>
          <w:sz w:val="24"/>
          <w:rFonts w:ascii="Times New Roman" w:hAnsi="Times New Roman" w:cs="Times New Roman" w:eastAsia="Times New Roman"/>
        </w:rPr>
        <w:t xml:space="preserve"> - ȳ</w:t>
      </w:r>
      <w:r>
        <w:rPr>
          <w:rFonts w:ascii="Times New Roman" w:hAnsi="Times New Roman"/>
          <w:b w:val="0"/>
          <w:i w:val="0"/>
          <w:sz w:val="24"/>
          <w:vertAlign w:val="subscript"/>
          <w:rFonts w:ascii="Times New Roman" w:hAnsi="Times New Roman" w:cs="Times New Roman" w:eastAsia="Times New Roman"/>
        </w:rPr>
        <w:t>i</w:t>
      </w:r>
      <w:r>
        <w:rPr>
          <w:rFonts w:ascii="Times New Roman" w:hAnsi="Times New Roman"/>
          <w:b w:val="0"/>
          <w:i w:val="0"/>
          <w:sz w:val="24"/>
          <w:rFonts w:ascii="Times New Roman" w:hAnsi="Times New Roman" w:cs="Times New Roman" w:eastAsia="Times New Roman"/>
        </w:rPr>
        <w:t>)</w:t>
      </w:r>
      <w:r>
        <w:rPr>
          <w:rFonts w:ascii="Times New Roman" w:hAnsi="Times New Roman"/>
          <w:b w:val="0"/>
          <w:i w:val="0"/>
          <w:sz w:val="24"/>
          <w:vertAlign w:val="superscript"/>
          <w:rFonts w:ascii="Times New Roman" w:hAnsi="Times New Roman" w:cs="Times New Roman" w:eastAsia="Times New Roman"/>
        </w:rPr>
        <w:t>2</w:t>
      </w:r>
      <w:r>
        <w:rPr>
          <w:rFonts w:ascii="Times New Roman" w:hAnsi="Times New Roman"/>
          <w:b w:val="0"/>
          <w:i w:val="0"/>
          <w:sz w:val="24"/>
          <w:rFonts w:ascii="Times New Roman" w:hAnsi="Times New Roman" w:cs="Times New Roman" w:eastAsia="Times New Roman"/>
        </w:rPr>
        <w:t>]</w:t>
      </w:r>
      <w:r>
        <w:rPr>
          <w:rFonts w:ascii="Times New Roman" w:hAnsi="Times New Roman"/>
          <w:b/>
          <w:i w:val="0"/>
          <w:sz w:val="24"/>
          <w:rFonts w:ascii="Times New Roman" w:hAnsi="Times New Roman" w:cs="Times New Roman" w:eastAsia="Times New Roman"/>
        </w:rPr>
        <w:tab/>
        <w:tab/>
        <w:tab/>
        <w:t>(2)</w:t>
      </w:r>
    </w:p>
    <w:p>
      <w:pPr>
        <w:spacing w:before="60" w:after="60" w:line="240" w:lineRule="auto"/>
        <w:ind w:firstLine="283"/>
        <w:jc w:val="both"/>
      </w:pPr>
      <w:r>
        <w:rPr>
          <w:rFonts w:ascii="Times New Roman" w:hAnsi="Times New Roman"/>
        </w:rPr>
        <w:t>Khi điện năng kWh tích lũy thực tế đạt các ngưỡng cảnh báo 80%, 90% và 100% hạn mức tháng, Flask Backend tự động gửi thông báo đẩy đến ứng dụng di động. Riêng tại các ngưỡng khẩn cấp 90% và 100%, hệ thống gọi thêm API của SMS Gateway gửi một tin nhắn ngắn cảnh báo khẩn cấp đến chủ nhà (sử dụng cơ chế giới hạn tần suất gửi rate-limiting để tránh gửi lặp gây phiền phức). Đây là tính năng cảnh báo một chiều, không cho phép nhận lệnh điều khiển ngược lại PLC. Khi vượt hạn mức đăng ký, thuật toán sa thải phụ tải chủ động trong Flask Backend tự động kích hoạt, gửi lệnh ngắt các tải công suất lớn phi thiết yếu thông qua việc điều khiển các relay trung gian và contactor đóng cắt phụ tải. Sự kiện được ghi lại tự động vào nhật ký hệ thống (Hình 3) [12].</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3: Lưu đồ giải thuật thuật toán sa thải phụ tải chủ động (Active HEMS)</w:t>
              <w:br/>
              <w:t>(Vẽ sơ đồ khối: Đo kWh tích lũy -&gt; So sánh với Quota cài đặt -&gt; Nếu vượt quá (YES) thì gửi tín hiệu ngắt tải phụ tải không thiết yếu -&gt; Ghi nhật ký sự kiện -&gt; Kết thúc)</w:t>
            </w:r>
          </w:p>
        </w:tc>
      </w:tr>
    </w:tbl>
    <w:p>
      <w:pPr>
        <w:spacing w:before="40" w:after="40" w:line="240" w:lineRule="auto"/>
        <w:jc w:val="both"/>
      </w:pPr>
    </w:p>
    <w:p>
      <w:pPr>
        <w:spacing w:before="60" w:after="60" w:line="240" w:lineRule="auto"/>
        <w:jc w:val="center"/>
      </w:pPr>
      <w:r>
        <w:rPr>
          <w:rFonts w:ascii="Times New Roman" w:hAnsi="Times New Roman"/>
          <w:b/>
          <w:i w:val="0"/>
          <w:sz w:val="24"/>
        </w:rPr>
        <w:t>Hình 3. Lưu đồ giải thuật thuật toán sa thải phụ tải tự động khi vượt hạn mức Quota của hệ thống HEMS</w:t>
      </w:r>
    </w:p>
    <w:p>
      <w:pPr>
        <w:keepNext/>
        <w:spacing w:before="60" w:after="60" w:line="240" w:lineRule="auto"/>
        <w:jc w:val="left"/>
      </w:pPr>
      <w:r>
        <w:rPr>
          <w:rFonts w:ascii="Times New Roman" w:hAnsi="Times New Roman"/>
          <w:b/>
          <w:i w:val="0"/>
          <w:sz w:val="24"/>
        </w:rPr>
        <w:t>3. KẾT QUẢ NGHIÊN CỨU/ THẢO LUẬN</w:t>
      </w:r>
    </w:p>
    <w:p>
      <w:pPr>
        <w:keepNext/>
        <w:spacing w:before="60" w:after="60" w:line="240" w:lineRule="auto"/>
        <w:jc w:val="left"/>
      </w:pPr>
      <w:r>
        <w:rPr>
          <w:rFonts w:ascii="Times New Roman" w:hAnsi="Times New Roman"/>
          <w:b/>
          <w:i w:val="0"/>
          <w:sz w:val="24"/>
        </w:rPr>
        <w:t>3.1. Kết quả huấn luyện và đánh giá mô hình AI dự báo</w:t>
      </w:r>
    </w:p>
    <w:p>
      <w:pPr>
        <w:spacing w:before="60" w:after="60" w:line="240" w:lineRule="auto"/>
        <w:ind w:firstLine="283"/>
        <w:jc w:val="both"/>
      </w:pPr>
      <w:r>
        <w:rPr>
          <w:rFonts w:ascii="Times New Roman" w:hAnsi="Times New Roman"/>
          <w:b w:val="0"/>
          <w:i w:val="0"/>
          <w:sz w:val="24"/>
        </w:rPr>
        <w:t>Mô hình AI huấn luyện đạt độ chính xác cao trên tập test. XGBoost đạt R² = 0.958, vượt trội so với Random Forest (R² = 0.942). Đáp ứng dự báo 24 giờ tiếp theo bám sát đồ thị tiêu thụ thực tế của hộ gia đình như được thể hiện ở Hình 4, giúp người dùng chủ động lên kế hoạch sử dụng năng lượng.</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4: Đồ thị dự báo phụ tải của XGBoost so với thực tế tiêu thụ trong 24 giờ</w:t>
              <w:br/>
              <w:t>(Vẽ đồ thị dạng đường (line chart) trục hoành là 24 giờ (0-24h), trục tung là Công suất (kW). Vẽ hai đường: đường màu xanh nét đứt là Giá trị dự báo (XGBoost Prediction), đường màu đỏ nét liền là Giá trị thực tế (Actual Power), bám sát nhau chặt chẽ)</w:t>
            </w:r>
          </w:p>
        </w:tc>
      </w:tr>
    </w:tbl>
    <w:p>
      <w:pPr>
        <w:spacing w:before="40" w:after="40" w:line="240" w:lineRule="auto"/>
        <w:jc w:val="both"/>
      </w:pPr>
    </w:p>
    <w:p>
      <w:pPr>
        <w:spacing w:before="60" w:after="60" w:line="240" w:lineRule="auto"/>
        <w:jc w:val="center"/>
      </w:pPr>
      <w:r>
        <w:rPr>
          <w:rFonts w:ascii="Times New Roman" w:hAnsi="Times New Roman"/>
          <w:b/>
          <w:i w:val="0"/>
          <w:sz w:val="24"/>
        </w:rPr>
        <w:t>Hình 4. Đồ thị so sánh công suất tiêu thụ dự báo bởi mô hình XGBoost và thực tế trong 24 giờ</w:t>
      </w:r>
    </w:p>
    <w:p>
      <w:pPr>
        <w:keepNext/>
        <w:spacing w:before="60" w:after="60" w:line="240" w:lineRule="auto"/>
        <w:jc w:val="center"/>
      </w:pPr>
      <w:r>
        <w:rPr>
          <w:rFonts w:ascii="Times New Roman" w:hAnsi="Times New Roman"/>
        </w:rPr>
        <w:t>Bảng 3. Kết quả so sánh hiệu năng dự báo phụ tải của các thuật toán trên tập test</w:t>
      </w:r>
    </w:p>
    <w:tbl>
      <w:tblPr>
        <w:tblW w:type="auto" w:w="0"/>
        <w:jc w:val="center"/>
        <w:tblLayout w:type="autofit"/>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24"/>
        <w:gridCol w:w="2324"/>
        <w:gridCol w:w="2324"/>
        <w:gridCol w:w="2324"/>
      </w:tblGrid>
      <w:tr>
        <w:tc>
          <w:tcPr>
            <w:tcW w:type="dxa" w:w="2324"/>
            <w:tcMar>
              <w:top w:w="100" w:type="dxa"/>
              <w:bottom w:w="100" w:type="dxa"/>
              <w:left w:w="100" w:type="dxa"/>
              <w:right w:w="100" w:type="dxa"/>
            </w:tcMar>
            <w:shd w:fill="F2F2F2"/>
          </w:tcPr>
          <w:p>
            <w:pPr>
              <w:jc w:val="center"/>
            </w:pPr>
            <w:r>
              <w:rPr>
                <w:rFonts w:ascii="Times New Roman" w:hAnsi="Times New Roman"/>
                <w:b/>
                <w:i w:val="0"/>
                <w:sz w:val="22"/>
              </w:rPr>
              <w:t>Thuật toán dự báo</w:t>
            </w:r>
          </w:p>
        </w:tc>
        <w:tc>
          <w:tcPr>
            <w:tcW w:type="dxa" w:w="2324"/>
            <w:tcMar>
              <w:top w:w="100" w:type="dxa"/>
              <w:bottom w:w="100" w:type="dxa"/>
              <w:left w:w="100" w:type="dxa"/>
              <w:right w:w="100" w:type="dxa"/>
            </w:tcMar>
            <w:shd w:fill="F2F2F2"/>
          </w:tcPr>
          <w:p>
            <w:pPr>
              <w:jc w:val="center"/>
            </w:pPr>
            <w:r>
              <w:rPr>
                <w:rFonts w:ascii="Times New Roman" w:hAnsi="Times New Roman"/>
                <w:b/>
                <w:i w:val="0"/>
                <w:sz w:val="22"/>
              </w:rPr>
              <w:t>Hệ số xác định (R²)</w:t>
            </w:r>
          </w:p>
        </w:tc>
        <w:tc>
          <w:tcPr>
            <w:tcW w:type="dxa" w:w="2324"/>
            <w:tcMar>
              <w:top w:w="100" w:type="dxa"/>
              <w:bottom w:w="100" w:type="dxa"/>
              <w:left w:w="100" w:type="dxa"/>
              <w:right w:w="100" w:type="dxa"/>
            </w:tcMar>
            <w:shd w:fill="F2F2F2"/>
          </w:tcPr>
          <w:p>
            <w:pPr>
              <w:jc w:val="center"/>
            </w:pPr>
            <w:r>
              <w:rPr>
                <w:rFonts w:ascii="Times New Roman" w:hAnsi="Times New Roman"/>
                <w:b/>
                <w:i w:val="0"/>
                <w:sz w:val="22"/>
              </w:rPr>
              <w:t>RMSE (kW)</w:t>
            </w:r>
          </w:p>
        </w:tc>
        <w:tc>
          <w:tcPr>
            <w:tcW w:type="dxa" w:w="2324"/>
            <w:tcMar>
              <w:top w:w="100" w:type="dxa"/>
              <w:bottom w:w="100" w:type="dxa"/>
              <w:left w:w="100" w:type="dxa"/>
              <w:right w:w="100" w:type="dxa"/>
            </w:tcMar>
            <w:shd w:fill="F2F2F2"/>
          </w:tcPr>
          <w:p>
            <w:pPr>
              <w:jc w:val="center"/>
            </w:pPr>
            <w:r>
              <w:rPr>
                <w:rFonts w:ascii="Times New Roman" w:hAnsi="Times New Roman"/>
                <w:b/>
                <w:i w:val="0"/>
                <w:sz w:val="22"/>
              </w:rPr>
              <w:t>MAE (kW)</w:t>
            </w:r>
          </w:p>
        </w:tc>
      </w:tr>
      <w:tr>
        <w:tc>
          <w:tcPr>
            <w:tcW w:type="dxa" w:w="2324"/>
            <w:tcMar>
              <w:top w:w="100" w:type="dxa"/>
              <w:bottom w:w="100" w:type="dxa"/>
              <w:left w:w="100" w:type="dxa"/>
              <w:right w:w="100" w:type="dxa"/>
            </w:tcMar>
          </w:tcPr>
          <w:p>
            <w:pPr>
              <w:jc w:val="center"/>
            </w:pPr>
            <w:r>
              <w:rPr>
                <w:rFonts w:ascii="Times New Roman" w:hAnsi="Times New Roman"/>
                <w:b w:val="0"/>
                <w:i w:val="0"/>
                <w:sz w:val="22"/>
              </w:rPr>
              <w:t>Random Forest</w:t>
            </w:r>
          </w:p>
        </w:tc>
        <w:tc>
          <w:tcPr>
            <w:tcW w:type="dxa" w:w="2324"/>
            <w:tcMar>
              <w:top w:w="100" w:type="dxa"/>
              <w:bottom w:w="100" w:type="dxa"/>
              <w:left w:w="100" w:type="dxa"/>
              <w:right w:w="100" w:type="dxa"/>
            </w:tcMar>
          </w:tcPr>
          <w:p>
            <w:pPr>
              <w:jc w:val="center"/>
            </w:pPr>
            <w:r>
              <w:rPr>
                <w:rFonts w:ascii="Times New Roman" w:hAnsi="Times New Roman"/>
                <w:b w:val="0"/>
                <w:i w:val="0"/>
                <w:sz w:val="22"/>
              </w:rPr>
              <w:t>0.942</w:t>
            </w:r>
          </w:p>
        </w:tc>
        <w:tc>
          <w:tcPr>
            <w:tcW w:type="dxa" w:w="2324"/>
            <w:tcMar>
              <w:top w:w="100" w:type="dxa"/>
              <w:bottom w:w="100" w:type="dxa"/>
              <w:left w:w="100" w:type="dxa"/>
              <w:right w:w="100" w:type="dxa"/>
            </w:tcMar>
          </w:tcPr>
          <w:p>
            <w:pPr>
              <w:jc w:val="center"/>
            </w:pPr>
            <w:r>
              <w:rPr>
                <w:rFonts w:ascii="Times New Roman" w:hAnsi="Times New Roman"/>
                <w:b w:val="0"/>
                <w:i w:val="0"/>
                <w:sz w:val="22"/>
              </w:rPr>
              <w:t>0.185</w:t>
            </w:r>
          </w:p>
        </w:tc>
        <w:tc>
          <w:tcPr>
            <w:tcW w:type="dxa" w:w="2324"/>
            <w:tcMar>
              <w:top w:w="100" w:type="dxa"/>
              <w:bottom w:w="100" w:type="dxa"/>
              <w:left w:w="100" w:type="dxa"/>
              <w:right w:w="100" w:type="dxa"/>
            </w:tcMar>
          </w:tcPr>
          <w:p>
            <w:pPr>
              <w:jc w:val="center"/>
            </w:pPr>
            <w:r>
              <w:rPr>
                <w:rFonts w:ascii="Times New Roman" w:hAnsi="Times New Roman"/>
                <w:b w:val="0"/>
                <w:i w:val="0"/>
                <w:sz w:val="22"/>
              </w:rPr>
              <w:t>0.124</w:t>
            </w:r>
          </w:p>
        </w:tc>
      </w:tr>
      <w:tr>
        <w:tc>
          <w:tcPr>
            <w:tcW w:type="dxa" w:w="2324"/>
            <w:tcMar>
              <w:top w:w="100" w:type="dxa"/>
              <w:bottom w:w="100" w:type="dxa"/>
              <w:left w:w="100" w:type="dxa"/>
              <w:right w:w="100" w:type="dxa"/>
            </w:tcMar>
          </w:tcPr>
          <w:p>
            <w:pPr>
              <w:jc w:val="center"/>
            </w:pPr>
            <w:r>
              <w:rPr>
                <w:rFonts w:ascii="Times New Roman" w:hAnsi="Times New Roman"/>
                <w:b w:val="0"/>
                <w:i w:val="0"/>
                <w:sz w:val="22"/>
              </w:rPr>
              <w:t>XGBoost (Đề xuất)</w:t>
            </w:r>
          </w:p>
        </w:tc>
        <w:tc>
          <w:tcPr>
            <w:tcW w:type="dxa" w:w="2324"/>
            <w:tcMar>
              <w:top w:w="100" w:type="dxa"/>
              <w:bottom w:w="100" w:type="dxa"/>
              <w:left w:w="100" w:type="dxa"/>
              <w:right w:w="100" w:type="dxa"/>
            </w:tcMar>
          </w:tcPr>
          <w:p>
            <w:pPr>
              <w:jc w:val="center"/>
            </w:pPr>
            <w:r>
              <w:rPr>
                <w:rFonts w:ascii="Times New Roman" w:hAnsi="Times New Roman"/>
                <w:b w:val="0"/>
                <w:i w:val="0"/>
                <w:sz w:val="22"/>
              </w:rPr>
              <w:t>0.958</w:t>
            </w:r>
          </w:p>
        </w:tc>
        <w:tc>
          <w:tcPr>
            <w:tcW w:type="dxa" w:w="2324"/>
            <w:tcMar>
              <w:top w:w="100" w:type="dxa"/>
              <w:bottom w:w="100" w:type="dxa"/>
              <w:left w:w="100" w:type="dxa"/>
              <w:right w:w="100" w:type="dxa"/>
            </w:tcMar>
          </w:tcPr>
          <w:p>
            <w:pPr>
              <w:jc w:val="center"/>
            </w:pPr>
            <w:r>
              <w:rPr>
                <w:rFonts w:ascii="Times New Roman" w:hAnsi="Times New Roman"/>
                <w:b w:val="0"/>
                <w:i w:val="0"/>
                <w:sz w:val="22"/>
              </w:rPr>
              <w:t>0.152</w:t>
            </w:r>
          </w:p>
        </w:tc>
        <w:tc>
          <w:tcPr>
            <w:tcW w:type="dxa" w:w="2324"/>
            <w:tcMar>
              <w:top w:w="100" w:type="dxa"/>
              <w:bottom w:w="100" w:type="dxa"/>
              <w:left w:w="100" w:type="dxa"/>
              <w:right w:w="100" w:type="dxa"/>
            </w:tcMar>
          </w:tcPr>
          <w:p>
            <w:pPr>
              <w:jc w:val="center"/>
            </w:pPr>
            <w:r>
              <w:rPr>
                <w:rFonts w:ascii="Times New Roman" w:hAnsi="Times New Roman"/>
                <w:b w:val="0"/>
                <w:i w:val="0"/>
                <w:sz w:val="22"/>
              </w:rPr>
              <w:t>0.098</w:t>
            </w:r>
          </w:p>
        </w:tc>
      </w:tr>
    </w:tbl>
    <w:p>
      <w:pPr>
        <w:spacing w:before="60" w:after="60" w:line="240" w:lineRule="auto"/>
        <w:jc w:val="both"/>
      </w:pPr>
    </w:p>
    <w:p>
      <w:pPr>
        <w:keepNext/>
        <w:spacing w:before="60" w:after="60" w:line="240" w:lineRule="auto"/>
        <w:jc w:val="left"/>
      </w:pPr>
      <w:r>
        <w:rPr>
          <w:rFonts w:ascii="Times New Roman" w:hAnsi="Times New Roman"/>
          <w:b/>
          <w:i w:val="0"/>
          <w:sz w:val="24"/>
        </w:rPr>
        <w:t>3.2. Kết quả kiểm thử đồng bộ trạng thái và Sa thải phụ tải (Active HEMS)</w:t>
      </w:r>
    </w:p>
    <w:p>
      <w:pPr>
        <w:spacing w:before="60" w:after="60" w:line="240" w:lineRule="auto"/>
        <w:ind w:firstLine="283"/>
        <w:jc w:val="both"/>
      </w:pPr>
      <w:r>
        <w:rPr>
          <w:rFonts w:ascii="Times New Roman" w:hAnsi="Times New Roman"/>
        </w:rPr>
        <w:t>Cơ chế đồng bộ khép kín được kiểm thử và vận hành ổn định. Khi hệ thống kích hoạt kịch bản sa thải phụ tải tự động, lệnh điều khiển ngắt thiết bị được truyền xuống PLC để xử lý tức thời, đồng thời ghi nhận hành động tự động ngắt tải vào nhật ký sự cố.</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5: Lưu đồ đồng bộ phản hồi khép kín (Closed-loop State Feedback)</w:t>
              <w:br/>
              <w:t>(Vẽ sơ đồ song song thể hiện hai luồng tác động: Luồng vật lý (User nhấn nút -&gt; PLC DI -&gt; PLC status DB1) và Luồng ứng dụng (User click app -&gt; Flask API -&gt; PLC command DB7 200ms -&gt; PLC DO). Cả hai luồng hội tụ về: Flask đọc DB1 -&gt; đồng bộ cập nhật CSDL và hiển thị App)</w:t>
            </w:r>
          </w:p>
        </w:tc>
      </w:tr>
    </w:tbl>
    <w:p>
      <w:pPr>
        <w:spacing w:before="40" w:after="40" w:line="240" w:lineRule="auto"/>
        <w:jc w:val="both"/>
      </w:pPr>
    </w:p>
    <w:p>
      <w:pPr>
        <w:spacing w:before="60" w:after="60" w:line="240" w:lineRule="auto"/>
        <w:jc w:val="center"/>
      </w:pPr>
      <w:r>
        <w:rPr>
          <w:rFonts w:ascii="Times New Roman" w:hAnsi="Times New Roman"/>
        </w:rPr>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6: Ảnh chụp bảng nhật ký hệ thống (Audit Logs) trên giao diện quản trị Web Admin</w:t>
              <w:br/>
              <w:t>(Đưa hình ảnh minh chứng nhật ký hành động tự động sa thải phụ tải: hiển thị các cột ID, User (System Autocut), Hành động (device.auto_shed_load), Thiết bị bị ngắt (Living Room AC), Thời gian ghi nhận thực tế)</w:t>
            </w:r>
          </w:p>
        </w:tc>
      </w:tr>
    </w:tbl>
    <w:p>
      <w:pPr>
        <w:spacing w:before="40" w:after="40" w:line="240" w:lineRule="auto"/>
        <w:jc w:val="both"/>
      </w:pPr>
    </w:p>
    <w:p>
      <w:pPr>
        <w:spacing w:before="60" w:after="60" w:line="240" w:lineRule="auto"/>
        <w:jc w:val="center"/>
      </w:pPr>
      <w:r>
        <w:rPr>
          <w:rFonts w:ascii="Times New Roman" w:hAnsi="Times New Roman"/>
        </w:rPr>
      </w:r>
    </w:p>
    <w:p>
      <w:pPr>
        <w:keepNext/>
        <w:spacing w:before="60" w:after="60" w:line="240" w:lineRule="auto"/>
        <w:jc w:val="left"/>
      </w:pPr>
      <w:r>
        <w:rPr>
          <w:rFonts w:ascii="Times New Roman" w:hAnsi="Times New Roman"/>
          <w:b/>
          <w:i w:val="0"/>
          <w:sz w:val="24"/>
        </w:rPr>
        <w:t>3.3. Giao diện ứng dụng di động (Mobile App UI) và SCADA</w:t>
      </w:r>
    </w:p>
    <w:p>
      <w:pPr>
        <w:spacing w:before="60" w:after="60" w:line="240" w:lineRule="auto"/>
        <w:ind w:firstLine="283"/>
        <w:jc w:val="both"/>
      </w:pPr>
      <w:r>
        <w:rPr>
          <w:rFonts w:ascii="Times New Roman" w:hAnsi="Times New Roman"/>
        </w:rPr>
        <w:t>Giao diện giám sát điện năng trên ứng dụng di động React Native/Expo và màn hình điều khiển HMI KTP700 đặt tại tủ điện HEMS được minh họa chi tiết trong Hình 5.</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7: Ảnh chụp giao diện ứng dụng di động HEMS (React Native)</w:t>
              <w:br/>
              <w:t>(Đưa ảnh chụp màn hình điện thoại: Trang chủ hiển thị công suất tiêu thụ tức thời (kW, kWh), thanh tiến trình hạn mức Quota đã dùng trong tháng, danh sách bật/tắt nhanh thiết bị và biểu đồ AI dự báo năng lượng 24h tới)</w:t>
            </w:r>
          </w:p>
        </w:tc>
      </w:tr>
    </w:tbl>
    <w:p>
      <w:pPr>
        <w:spacing w:before="40" w:after="40" w:line="240" w:lineRule="auto"/>
        <w:jc w:val="both"/>
      </w:pPr>
    </w:p>
    <w:p>
      <w:pPr>
        <w:spacing w:before="60" w:after="60" w:line="240" w:lineRule="auto"/>
        <w:jc w:val="center"/>
      </w:pPr>
      <w:r>
        <w:rPr>
          <w:rFonts w:ascii="Times New Roman" w:hAnsi="Times New Roman"/>
        </w:rPr>
        <w:t>Hình 5. Giao diện giám sát HEMS: (a) Giao diện Dashboard trên ứng dụng di động; (b) Màn hình điều khiển tại chỗ HMI KTP700</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8: Ảnh chụp giao diện giám sát &amp; cài đặt tại chỗ trên màn hình HMI KTP700</w:t>
              <w:br/>
              <w:t>(Đưa hình ảnh thiết kế HMI KTP700 tại tủ điện: Hiển thị các nút bật/tắt thiết bị phụ tải, chuyển chế độ Auto/Manual, bảng thông số dòng điện/điện áp đọc về từ đồng hồ đo MFM384)</w:t>
            </w:r>
          </w:p>
        </w:tc>
      </w:tr>
    </w:tbl>
    <w:p>
      <w:pPr>
        <w:spacing w:before="40" w:after="40" w:line="240" w:lineRule="auto"/>
        <w:jc w:val="both"/>
      </w:pPr>
    </w:p>
    <w:p>
      <w:pPr>
        <w:spacing w:before="60" w:after="60" w:line="240" w:lineRule="auto"/>
        <w:jc w:val="center"/>
      </w:pPr>
      <w:r>
        <w:rPr>
          <w:rFonts w:ascii="Times New Roman" w:hAnsi="Times New Roman"/>
        </w:rPr>
      </w:r>
    </w:p>
    <w:p>
      <w:pPr>
        <w:keepNext/>
        <w:spacing w:before="60" w:after="60" w:line="240" w:lineRule="auto"/>
        <w:jc w:val="left"/>
      </w:pPr>
      <w:r>
        <w:rPr>
          <w:rFonts w:ascii="Times New Roman" w:hAnsi="Times New Roman"/>
          <w:b/>
          <w:i w:val="0"/>
          <w:sz w:val="24"/>
        </w:rPr>
        <w:t>3.4. Đánh giá hiệu năng truyền thông và sai lệch thực tế</w:t>
      </w:r>
    </w:p>
    <w:p>
      <w:pPr>
        <w:spacing w:before="60" w:after="60" w:line="240" w:lineRule="auto"/>
        <w:ind w:firstLine="283"/>
        <w:jc w:val="both"/>
      </w:pPr>
      <w:r>
        <w:rPr>
          <w:rFonts w:ascii="Times New Roman" w:hAnsi="Times New Roman"/>
        </w:rPr>
        <w:t>Kết quả kiểm thử Latency từ App di động qua Backend đến ngõ ra PLC được ghi nhận trong Bảng 4: mạng LAN có độ trễ cực thấp (~10-25 ms); mạng di động 4G qua Cloudflare Tunnel đạt độ trễ từ (~75-130 ms) [19], hoàn toàn đáp ứng tốt yêu cầu thời gian thực HEMS. Một số sai lệch thực tế so với mô phỏng lý thuyết do trễ phản hồi tiếp điểm cơ khí và sụt áp tạm thời lưới điện đã được bù đắp bằng logic trễ lọc tín hiệu tại PLC.</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35"/>
      </w:tblGrid>
      <w:tr>
        <w:tc>
          <w:tcPr>
            <w:tcW w:type="dxa" w:w="9298"/>
            <w:tcMar>
              <w:top w:w="150" w:type="dxa"/>
              <w:bottom w:w="150" w:type="dxa"/>
              <w:left w:w="150" w:type="dxa"/>
              <w:right w:w="150" w:type="dxa"/>
            </w:tcMar>
            <w:shd w:fill="F2F2F2"/>
          </w:tcPr>
          <w:p>
            <w:pPr>
              <w:spacing w:before="80" w:after="80"/>
              <w:jc w:val="center"/>
            </w:pPr>
            <w:r>
              <w:rPr>
                <w:rFonts w:ascii="Times New Roman" w:hAnsi="Times New Roman"/>
                <w:b w:val="0"/>
                <w:i/>
                <w:sz w:val="19"/>
              </w:rPr>
              <w:t>[KHÔNG GIAN ẢNH MINH HỌA]</w:t>
              <w:br/>
              <w:t>Hình 9: Biểu đồ cột (Bar Chart) so sánh thời gian phản hồi truyền thông (Latency)</w:t>
              <w:br/>
              <w:t>(Vẽ đồ thị cột: Trục hoành là 2 mốc truyền thông: Mạng nội bộ (LAN) và Mạng di động (4G/Cloudflare Tunnel). Trục tung là thời gian phản hồi (ms). LAN thể hiện cột nhỏ 15-20ms, 4G thể hiện cột cao hơn 90-110ms)</w:t>
            </w:r>
          </w:p>
        </w:tc>
      </w:tr>
    </w:tbl>
    <w:p>
      <w:pPr>
        <w:spacing w:before="40" w:after="40" w:line="240" w:lineRule="auto"/>
        <w:jc w:val="both"/>
      </w:pPr>
    </w:p>
    <w:p>
      <w:pPr>
        <w:spacing w:before="60" w:after="60" w:line="240" w:lineRule="auto"/>
        <w:jc w:val="center"/>
      </w:pPr>
      <w:r>
        <w:rPr>
          <w:rFonts w:ascii="Times New Roman" w:hAnsi="Times New Roman"/>
        </w:rPr>
      </w:r>
    </w:p>
    <w:p>
      <w:pPr>
        <w:keepNext/>
        <w:spacing w:before="60" w:after="60" w:line="240" w:lineRule="auto"/>
        <w:jc w:val="left"/>
      </w:pPr>
      <w:r>
        <w:rPr>
          <w:rFonts w:ascii="Times New Roman" w:hAnsi="Times New Roman"/>
          <w:b/>
          <w:i w:val="0"/>
          <w:sz w:val="24"/>
        </w:rPr>
        <w:t>4. KẾT LUẬN VÀ ĐỀ XUẤT</w:t>
      </w:r>
    </w:p>
    <w:p>
      <w:pPr>
        <w:spacing w:before="60" w:after="60" w:line="276" w:lineRule="auto"/>
        <w:ind w:firstLine="283"/>
        <w:jc w:val="both"/>
      </w:pPr>
      <w:r>
        <w:rPr>
          <w:rFonts w:ascii="Times New Roman" w:hAnsi="Times New Roman"/>
        </w:rPr>
        <w:t>Mặc dù đạt được những kết quả khả quan, hệ thống HEMS đề xuất vẫn tồn tại một số hạn chế nhất định cần được phát triển thêm: (1) Thời gian thử nghiệm thực tế còn ngắn hạn và quy mô hộ gia đình đơn lẻ chưa bao quát hết sự phức tạp của lưới điện; (2) Hệ thống mới chỉ đo lường tổng điện năng tại đầu nguồn qua đồng hồ Selec MFM384 mà chưa tích hợp các cảm biến dòng điện CT riêng rẽ hoặc ổ cắm thông minh tại từng phụ tải; (3) Thuật toán sa thải phụ tải mới chỉ tối ưu theo hạn mức công suất cố định (Quota) mà chưa tích hợp điều khiển tối ưu hóa đa mục tiêu theo biểu giá điện bậc thang của điện lực (Time-of-Use); Đây sẽ là những hướng nghiên cứu trọng tâm trong thời gian tới để hoàn thiện hệ thống.</w:t>
      </w:r>
    </w:p>
    <w:p>
      <w:pPr>
        <w:spacing w:before="60" w:after="60" w:line="240" w:lineRule="auto"/>
        <w:ind w:firstLine="283"/>
        <w:jc w:val="both"/>
      </w:pPr>
      <w:r>
        <w:rPr>
          <w:rFonts w:ascii="Times New Roman" w:hAnsi="Times New Roman"/>
          <w:b w:val="0"/>
          <w:i w:val="0"/>
          <w:sz w:val="24"/>
        </w:rPr>
        <w:t>Nghiên cứu đã thiết kế và triển khai thành công mô hình HEMS Edge-Cloud tích hợp PLC S7-1200, đồng hồ MFM384, API Flask và CSDL Supabase PostgreSQL. Tích hợp mô hình AI XGBoost đạt độ chính xác dự báo cao (R² &gt;= 0.94) và thuật toán sa thải tải tự động giúp bảo vệ hiệu quả hạn mức tiêu dùng điện gia đình.</w:t>
      </w:r>
    </w:p>
    <w:p>
      <w:pPr>
        <w:spacing w:before="60" w:after="60" w:line="240" w:lineRule="auto"/>
        <w:ind w:firstLine="283"/>
        <w:jc w:val="both"/>
      </w:pPr>
      <w:r>
        <w:rPr>
          <w:rFonts w:ascii="Times New Roman" w:hAnsi="Times New Roman"/>
          <w:b w:val="0"/>
          <w:i w:val="0"/>
          <w:sz w:val="24"/>
        </w:rPr>
        <w:t>Đề xuất hướng phát triển tiếp theo gồm việc thiết lập pipeline tự động huấn luyện lại mô hình trực tuyến (auto-retraining) và tích hợp trợ lý ảo tiếng Việt tư vấn sử dụng năng lượng hiệu quả.</w:t>
      </w:r>
    </w:p>
    <w:p>
      <w:pPr>
        <w:spacing w:before="60" w:after="60" w:line="240" w:lineRule="auto"/>
        <w:ind w:firstLine="283"/>
        <w:jc w:val="both"/>
      </w:pPr>
      <w:r>
        <w:rPr>
          <w:rFonts w:ascii="Times New Roman" w:hAnsi="Times New Roman"/>
          <w:b w:val="0"/>
          <w:i/>
          <w:sz w:val="24"/>
        </w:rPr>
        <w:t>Lời cảm ơn: Nhóm tác giả chân thành cảm ơn Trường Đại học Kỹ thuật - Công nghệ Cần Thơ đã tạo điều kiện cung cấp trang thiết bị phòng thí nghiệm để hoàn thành nghiên cứu này.</w:t>
      </w:r>
    </w:p>
    <w:p>
      <w:pPr>
        <w:keepNext/>
        <w:spacing w:before="60" w:after="60" w:line="240" w:lineRule="auto"/>
        <w:jc w:val="left"/>
      </w:pPr>
      <w:r>
        <w:rPr>
          <w:rFonts w:ascii="Times New Roman" w:hAnsi="Times New Roman"/>
          <w:b/>
          <w:i w:val="0"/>
          <w:sz w:val="24"/>
        </w:rPr>
        <w:t>Tài liệu tham khảo</w:t>
      </w:r>
    </w:p>
    <w:p>
      <w:pPr>
        <w:spacing w:before="60" w:after="60" w:line="240" w:lineRule="auto"/>
        <w:ind w:left="283"/>
        <w:jc w:val="both"/>
      </w:pPr>
      <w:r>
        <w:rPr>
          <w:rFonts w:ascii="Times New Roman" w:hAnsi="Times New Roman"/>
          <w:b w:val="0"/>
          <w:i w:val="0"/>
          <w:sz w:val="22"/>
        </w:rPr>
        <w:t>[1] Nguyễn Văn Hùng. Nghiên cứu giải pháp quản lý năng lượng thông minh trong tòa nhà. Tạp chí Khoa học và Công nghệ. 2021; 58(3): 112-120.</w:t>
      </w:r>
    </w:p>
    <w:p>
      <w:pPr>
        <w:spacing w:before="60" w:after="60" w:line="240" w:lineRule="auto"/>
        <w:ind w:left="283"/>
        <w:jc w:val="both"/>
      </w:pPr>
      <w:r>
        <w:rPr>
          <w:rFonts w:ascii="Times New Roman" w:hAnsi="Times New Roman"/>
          <w:b w:val="0"/>
          <w:i w:val="0"/>
          <w:sz w:val="22"/>
        </w:rPr>
        <w:t>[2] Zhou B, Li W, Chan KW, et al. Smart home energy management systems: Concept, configurations, and scheduling strategies. Renewable Sustainable Energy Rev. 2016; 61: 30-40.</w:t>
      </w:r>
    </w:p>
    <w:p>
      <w:pPr>
        <w:spacing w:before="60" w:after="60" w:line="240" w:lineRule="auto"/>
        <w:ind w:left="283"/>
        <w:jc w:val="both"/>
      </w:pPr>
      <w:r>
        <w:rPr>
          <w:rFonts w:ascii="Times New Roman" w:hAnsi="Times New Roman"/>
          <w:b w:val="0"/>
          <w:i w:val="0"/>
          <w:sz w:val="22"/>
        </w:rPr>
        <w:t>[3] Al-Kuwari AM, Cardozo A, Al-Naimi M. Design and implementation of a PLC-based home automation system. IEEE Trans Consum Electron. 2019; 65(2): 145-153.</w:t>
      </w:r>
    </w:p>
    <w:p>
      <w:pPr>
        <w:spacing w:before="60" w:after="60" w:line="240" w:lineRule="auto"/>
        <w:ind w:left="283"/>
        <w:jc w:val="both"/>
      </w:pPr>
      <w:r>
        <w:rPr>
          <w:rFonts w:ascii="Times New Roman" w:hAnsi="Times New Roman"/>
          <w:b w:val="0"/>
          <w:i w:val="0"/>
          <w:sz w:val="22"/>
        </w:rPr>
        <w:t>[4] Siemens AG. S7-1200 Programmable Controller System Manual. Germany: Siemens AG; 2022.</w:t>
      </w:r>
    </w:p>
    <w:p>
      <w:pPr>
        <w:spacing w:before="60" w:after="60" w:line="240" w:lineRule="auto"/>
        <w:ind w:left="283"/>
        <w:jc w:val="both"/>
      </w:pPr>
      <w:r>
        <w:rPr>
          <w:rFonts w:ascii="Times New Roman" w:hAnsi="Times New Roman"/>
          <w:b w:val="0"/>
          <w:i w:val="0"/>
          <w:sz w:val="22"/>
        </w:rPr>
        <w:t>[5] Nguyễn Phùng Quang. Điều khiển hệ thống tự động hóa công nghiệp tích hợp truyền thông. Hà Nội: NXB Khoa học và Kỹ thuật; 2004.</w:t>
      </w:r>
    </w:p>
    <w:p>
      <w:pPr>
        <w:spacing w:before="60" w:after="60" w:line="240" w:lineRule="auto"/>
        <w:ind w:left="283"/>
        <w:jc w:val="both"/>
      </w:pPr>
      <w:r>
        <w:rPr>
          <w:rFonts w:ascii="Times New Roman" w:hAnsi="Times New Roman"/>
          <w:b w:val="0"/>
          <w:i w:val="0"/>
          <w:sz w:val="22"/>
        </w:rPr>
        <w:t>[6] Chen T, Guestrin C. XGBoost: A scalable tree boosting system. Proceedings of the 22nd ACM SIGKDD International Conference on Knowledge Discovery and Data Mining. 2016. 785-794.</w:t>
      </w:r>
    </w:p>
    <w:p>
      <w:pPr>
        <w:spacing w:before="60" w:after="60" w:line="240" w:lineRule="auto"/>
        <w:ind w:left="283"/>
        <w:jc w:val="both"/>
      </w:pPr>
      <w:r>
        <w:rPr>
          <w:rFonts w:ascii="Times New Roman" w:hAnsi="Times New Roman"/>
          <w:b w:val="0"/>
          <w:i w:val="0"/>
          <w:sz w:val="22"/>
        </w:rPr>
        <w:t>[7] Breiman L. Random Forests. Mach Learn. 2001; 45(1): 5-32.</w:t>
      </w:r>
    </w:p>
    <w:p>
      <w:pPr>
        <w:spacing w:before="60" w:after="60" w:line="240" w:lineRule="auto"/>
        <w:ind w:left="283"/>
        <w:jc w:val="both"/>
      </w:pPr>
      <w:r>
        <w:rPr>
          <w:rFonts w:ascii="Times New Roman" w:hAnsi="Times New Roman"/>
          <w:b w:val="0"/>
          <w:i w:val="0"/>
          <w:sz w:val="22"/>
        </w:rPr>
        <w:t>[8] Kong W, Dong ZY, Jia Y, et al. Short-term residential load forecasting based on LSTM recurrent neural networks. IEEE Trans Smart Grid. 2019; 10(1): 841-851.</w:t>
      </w:r>
    </w:p>
    <w:p>
      <w:pPr>
        <w:spacing w:before="60" w:after="60" w:line="240" w:lineRule="auto"/>
        <w:ind w:left="283"/>
        <w:jc w:val="both"/>
      </w:pPr>
      <w:r>
        <w:rPr>
          <w:rFonts w:ascii="Times New Roman" w:hAnsi="Times New Roman"/>
          <w:b w:val="0"/>
          <w:i w:val="0"/>
          <w:sz w:val="22"/>
        </w:rPr>
        <w:t>[9] Geron A. Hands-On Machine Learning with Scikit-Learn, Keras, and TensorFlow. 2nd ed. Boston: O'Reilly Media; 2019.</w:t>
      </w:r>
    </w:p>
    <w:p>
      <w:pPr>
        <w:spacing w:before="60" w:after="60" w:line="240" w:lineRule="auto"/>
        <w:ind w:left="283"/>
        <w:jc w:val="both"/>
      </w:pPr>
      <w:r>
        <w:rPr>
          <w:rFonts w:ascii="Times New Roman" w:hAnsi="Times New Roman"/>
          <w:b w:val="0"/>
          <w:i w:val="0"/>
          <w:sz w:val="22"/>
        </w:rPr>
        <w:t>[10] Modbus Organization. Modbus Application Protocol Specification v1.1b3. Modbus Org; 2012.</w:t>
      </w:r>
    </w:p>
    <w:p>
      <w:pPr>
        <w:spacing w:before="60" w:after="60" w:line="240" w:lineRule="auto"/>
        <w:ind w:left="283"/>
        <w:jc w:val="both"/>
      </w:pPr>
      <w:r>
        <w:rPr>
          <w:rFonts w:ascii="Times New Roman" w:hAnsi="Times New Roman"/>
          <w:b w:val="0"/>
          <w:i w:val="0"/>
          <w:sz w:val="22"/>
        </w:rPr>
        <w:t>[11] Supabase Inc. Supabase Database and PostgreSQL Cloud Management Guide. https://supabase.com/docs, truy cập 15/05/2026.</w:t>
      </w:r>
    </w:p>
    <w:p>
      <w:pPr>
        <w:spacing w:before="60" w:after="60" w:line="240" w:lineRule="auto"/>
        <w:ind w:left="283"/>
        <w:jc w:val="both"/>
      </w:pPr>
      <w:r>
        <w:rPr>
          <w:rFonts w:ascii="Times New Roman" w:hAnsi="Times New Roman"/>
          <w:b w:val="0"/>
          <w:i w:val="0"/>
          <w:sz w:val="22"/>
        </w:rPr>
        <w:t>[12] Borkowski D. Water level control and demand response of a small hydropower plant with a surge tank. J Hydraul Res. 2017; 55(2): 284-291.</w:t>
      </w:r>
    </w:p>
    <w:p>
      <w:pPr>
        <w:spacing w:before="60" w:after="60" w:line="240" w:lineRule="auto"/>
        <w:ind w:left="283"/>
        <w:jc w:val="both"/>
      </w:pPr>
      <w:r>
        <w:rPr>
          <w:rFonts w:ascii="Times New Roman" w:hAnsi="Times New Roman"/>
          <w:b w:val="0"/>
          <w:i w:val="0"/>
          <w:sz w:val="22"/>
        </w:rPr>
        <w:t>[13] Patel VV. Ziegler-Nichols Tuning Method: Understanding the PID Controller. Resonance. 2020; 25(10): 1385-1397.</w:t>
      </w:r>
    </w:p>
    <w:p>
      <w:pPr>
        <w:spacing w:before="60" w:after="60" w:line="240" w:lineRule="auto"/>
        <w:ind w:left="283"/>
        <w:jc w:val="both"/>
      </w:pPr>
      <w:r>
        <w:rPr>
          <w:rFonts w:ascii="Times New Roman" w:hAnsi="Times New Roman"/>
          <w:b w:val="0"/>
          <w:i w:val="0"/>
          <w:sz w:val="22"/>
        </w:rPr>
        <w:t>[14] Wang L. PID control system design and automatic tuning using MATLAB/Simulink. London: Springer; 2020.</w:t>
      </w:r>
    </w:p>
    <w:p>
      <w:pPr>
        <w:spacing w:before="60" w:after="60" w:line="240" w:lineRule="auto"/>
        <w:ind w:left="283"/>
        <w:jc w:val="both"/>
      </w:pPr>
      <w:r>
        <w:rPr>
          <w:rFonts w:ascii="Times New Roman" w:hAnsi="Times New Roman"/>
          <w:b w:val="0"/>
          <w:i w:val="0"/>
          <w:sz w:val="22"/>
        </w:rPr>
        <w:t>[15] O'Dwyer A. Handbook of PI and PID controller tuning rules. 3rd ed. London: Imperial College Press; 2009.</w:t>
      </w:r>
    </w:p>
    <w:p>
      <w:pPr>
        <w:spacing w:before="60" w:after="60" w:line="240" w:lineRule="auto"/>
        <w:ind w:left="283"/>
        <w:jc w:val="both"/>
      </w:pPr>
      <w:r>
        <w:rPr>
          <w:rFonts w:ascii="Times New Roman" w:hAnsi="Times New Roman"/>
          <w:b w:val="0"/>
          <w:i w:val="0"/>
          <w:sz w:val="22"/>
        </w:rPr>
        <w:t>[16] Kramer O. Genetic algorithms. Stud Comput Intell. 2017; 679: 11-19.</w:t>
      </w:r>
    </w:p>
    <w:p>
      <w:pPr>
        <w:spacing w:before="60" w:after="60" w:line="240" w:lineRule="auto"/>
        <w:ind w:left="283"/>
        <w:jc w:val="both"/>
      </w:pPr>
      <w:r>
        <w:rPr>
          <w:rFonts w:ascii="Times New Roman" w:hAnsi="Times New Roman"/>
          <w:b w:val="0"/>
          <w:i w:val="0"/>
          <w:sz w:val="22"/>
        </w:rPr>
        <w:t>[17] Zhang Z. Artificial Neural Network. Multivar Time Series Anal Clim Environ Res. 2018; 12: 1-35.</w:t>
      </w:r>
    </w:p>
    <w:p>
      <w:pPr>
        <w:spacing w:before="60" w:after="60" w:line="240" w:lineRule="auto"/>
        <w:ind w:left="283"/>
        <w:jc w:val="both"/>
      </w:pPr>
      <w:r>
        <w:rPr>
          <w:rFonts w:ascii="Times New Roman" w:hAnsi="Times New Roman"/>
          <w:b w:val="0"/>
          <w:i w:val="0"/>
          <w:sz w:val="22"/>
        </w:rPr>
        <w:t>[18] UCI Machine Learning Repository. Individual household electric power consumption data set. https://archive.ics.uci.edu/ml/datasets/individual+household+electric+power+consumption, truy cập 10/05/2026.</w:t>
      </w:r>
    </w:p>
    <w:p>
      <w:pPr>
        <w:spacing w:before="60" w:after="60" w:line="240" w:lineRule="auto"/>
        <w:ind w:left="283"/>
        <w:jc w:val="both"/>
      </w:pPr>
      <w:r>
        <w:rPr>
          <w:rFonts w:ascii="Times New Roman" w:hAnsi="Times New Roman"/>
          <w:b w:val="0"/>
          <w:i w:val="0"/>
          <w:sz w:val="22"/>
        </w:rPr>
        <w:t>[19] Cloudflare Inc. Cloudflare Tunnel Gateway Configuration and Security. https://developers.cloudflare.com/cloudflare-one/connections/connect-networks, truy cập 20/05/2026.</w:t>
      </w:r>
    </w:p>
    <w:p>
      <w:pPr>
        <w:spacing w:before="60" w:after="60" w:line="240" w:lineRule="auto"/>
        <w:ind w:left="283"/>
        <w:jc w:val="both"/>
      </w:pPr>
      <w:r>
        <w:rPr>
          <w:rFonts w:ascii="Times New Roman" w:hAnsi="Times New Roman"/>
          <w:b w:val="0"/>
          <w:i w:val="0"/>
          <w:sz w:val="22"/>
        </w:rPr>
        <w:t>[20] Expo team. React Native Expo Framework for Cross-Platform App Development. https://docs.expo.dev, truy cập 22/05/2026.</w:t>
      </w:r>
    </w:p>
    <w:sectPr w:rsidR="00FC693F" w:rsidRPr="0006063C" w:rsidSect="00034616">
      <w:type w:val="continuous"/>
      <w:pgSz w:w="11906" w:h="16838"/>
      <w:pgMar w:top="2268" w:right="1304" w:bottom="1417" w:left="1304" w:header="720" w:footer="720" w:gutter="0"/>
      <w:cols w:space="5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