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sz w:val="28"/>
          <w:rFonts w:ascii="Times New Roman" w:hAnsi="Times New Roman" w:cs="Times New Roman" w:eastAsia="Times New Roman"/>
        </w:rPr>
        <w:t>DANH MỤC TÀI LIỆU THAM KHẢO CHỌN LỌC CHO BÀI BÁO KHOA HỌC (CTJST)</w:t>
      </w:r>
    </w:p>
    <w:p>
      <w:pPr>
        <w:spacing w:before="60" w:after="240" w:line="276" w:lineRule="auto"/>
        <w:ind w:firstLine="283"/>
        <w:jc w:val="both"/>
      </w:pPr>
      <w:r>
        <w:rPr>
          <w:rFonts w:ascii="Times New Roman" w:hAnsi="Times New Roman"/>
          <w:i/>
          <w:sz w:val="24"/>
          <w:rFonts w:ascii="Times New Roman" w:hAnsi="Times New Roman" w:cs="Times New Roman" w:eastAsia="Times New Roman"/>
        </w:rPr>
        <w:t>Dưới đây là danh mục 12 tài liệu tham khảo cốt lõi nhất được tinh lọc để đưa vào bài báo khoa học. Các tài liệu được sắp xếp theo đúng quy chuẩn Vancouver của Tạp chí Khoa học và Công nghệ Cần Thơ, kèm theo hướng dẫn cụ thể vị trí và ngữ cảnh cần dẫn chiếu trong bài.</w:t>
      </w:r>
    </w:p>
    <w:p>
      <w:pPr>
        <w:spacing w:before="60" w:after="60" w:line="240" w:lineRule="auto"/>
        <w:ind w:firstLine="0"/>
        <w:jc w:val="both"/>
      </w:pPr>
      <w:r>
        <w:rPr>
          <w:rFonts w:ascii="Times New Roman" w:hAnsi="Times New Roman"/>
          <w:b/>
          <w:sz w:val="24"/>
          <w:rFonts w:ascii="Times New Roman" w:hAnsi="Times New Roman" w:cs="Times New Roman" w:eastAsia="Times New Roman"/>
        </w:rPr>
        <w:t xml:space="preserve">[1] </w:t>
      </w:r>
      <w:r>
        <w:rPr>
          <w:rFonts w:ascii="Times New Roman" w:hAnsi="Times New Roman"/>
          <w:b/>
          <w:sz w:val="24"/>
          <w:rFonts w:ascii="Times New Roman" w:hAnsi="Times New Roman" w:cs="Times New Roman" w:eastAsia="Times New Roman"/>
        </w:rPr>
        <w:t xml:space="preserve">Siswipraptini PC, Aziza RN, Siregar RRA, Ramadhan A. </w:t>
      </w:r>
      <w:r>
        <w:rPr>
          <w:rFonts w:ascii="Times New Roman" w:hAnsi="Times New Roman"/>
          <w:sz w:val="24"/>
          <w:rFonts w:ascii="Times New Roman" w:hAnsi="Times New Roman" w:cs="Times New Roman" w:eastAsia="Times New Roman"/>
        </w:rPr>
        <w:t xml:space="preserve">Smart Home Energy Management Systems: A Systematic Review of Architecture, Communication, and Algorithmic Trends. </w:t>
      </w:r>
      <w:r>
        <w:rPr>
          <w:rFonts w:ascii="Times New Roman" w:hAnsi="Times New Roman"/>
          <w:i/>
          <w:sz w:val="24"/>
          <w:rFonts w:ascii="Times New Roman" w:hAnsi="Times New Roman" w:cs="Times New Roman" w:eastAsia="Times New Roman"/>
        </w:rPr>
        <w:t xml:space="preserve">J Syst Manage Sci. </w:t>
      </w:r>
      <w:r>
        <w:rPr>
          <w:rFonts w:ascii="Times New Roman" w:hAnsi="Times New Roman"/>
          <w:sz w:val="24"/>
          <w:rFonts w:ascii="Times New Roman" w:hAnsi="Times New Roman" w:cs="Times New Roman" w:eastAsia="Times New Roman"/>
        </w:rPr>
        <w:t xml:space="preserve">2024; 14(11): 129-146. </w:t>
      </w:r>
    </w:p>
    <w:p>
      <w:pPr>
        <w:spacing w:before="40" w:after="120"/>
        <w:ind w:firstLine="283"/>
        <w:jc w:val="both"/>
      </w:pPr>
      <w:r>
        <w:rPr>
          <w:rFonts w:ascii="Times New Roman" w:hAnsi="Times New Roman"/>
          <w:b/>
          <w:i/>
          <w:sz w:val="22"/>
          <w:rFonts w:ascii="Times New Roman" w:hAnsi="Times New Roman" w:cs="Times New Roman" w:eastAsia="Times New Roman"/>
        </w:rPr>
        <w:t xml:space="preserve">Hướng dẫn dẫn chiếu: </w:t>
      </w:r>
      <w:r>
        <w:rPr>
          <w:rFonts w:ascii="Times New Roman" w:hAnsi="Times New Roman"/>
          <w:i/>
          <w:sz w:val="22"/>
          <w:rFonts w:ascii="Times New Roman" w:hAnsi="Times New Roman" w:cs="Times New Roman" w:eastAsia="Times New Roman"/>
        </w:rPr>
        <w:t>Dẫn chiếu ở Mục 1 (Đặt vấn đề) và Mục 2.1 (Kiến trúc Edge-Cloud HEMS) làm cơ sở lý thuyết để phân lớp các chức năng của HEMS.</w:t>
      </w:r>
    </w:p>
    <w:p>
      <w:pPr>
        <w:spacing w:before="60" w:after="60" w:line="240" w:lineRule="auto"/>
        <w:ind w:firstLine="0"/>
        <w:jc w:val="both"/>
      </w:pPr>
      <w:r>
        <w:rPr>
          <w:rFonts w:ascii="Times New Roman" w:hAnsi="Times New Roman"/>
          <w:b/>
          <w:sz w:val="24"/>
          <w:rFonts w:ascii="Times New Roman" w:hAnsi="Times New Roman" w:cs="Times New Roman" w:eastAsia="Times New Roman"/>
        </w:rPr>
        <w:t xml:space="preserve">[2] </w:t>
      </w:r>
      <w:r>
        <w:rPr>
          <w:rFonts w:ascii="Times New Roman" w:hAnsi="Times New Roman"/>
          <w:b/>
          <w:sz w:val="24"/>
          <w:rFonts w:ascii="Times New Roman" w:hAnsi="Times New Roman" w:cs="Times New Roman" w:eastAsia="Times New Roman"/>
        </w:rPr>
        <w:t xml:space="preserve">Koltsaklis N, Panapakidis I, Christoforidis G, Knápek J. </w:t>
      </w:r>
      <w:r>
        <w:rPr>
          <w:rFonts w:ascii="Times New Roman" w:hAnsi="Times New Roman"/>
          <w:sz w:val="24"/>
          <w:rFonts w:ascii="Times New Roman" w:hAnsi="Times New Roman" w:cs="Times New Roman" w:eastAsia="Times New Roman"/>
        </w:rPr>
        <w:t xml:space="preserve">Smart home energy management processes support through machine learning algorithms. </w:t>
      </w:r>
      <w:r>
        <w:rPr>
          <w:rFonts w:ascii="Times New Roman" w:hAnsi="Times New Roman"/>
          <w:i/>
          <w:sz w:val="24"/>
          <w:rFonts w:ascii="Times New Roman" w:hAnsi="Times New Roman" w:cs="Times New Roman" w:eastAsia="Times New Roman"/>
        </w:rPr>
        <w:t xml:space="preserve">Energy Reports. </w:t>
      </w:r>
      <w:r>
        <w:rPr>
          <w:rFonts w:ascii="Times New Roman" w:hAnsi="Times New Roman"/>
          <w:sz w:val="24"/>
          <w:rFonts w:ascii="Times New Roman" w:hAnsi="Times New Roman" w:cs="Times New Roman" w:eastAsia="Times New Roman"/>
        </w:rPr>
        <w:t xml:space="preserve">2022; 8(Suppl 3): 1-6. </w:t>
      </w:r>
    </w:p>
    <w:p>
      <w:pPr>
        <w:spacing w:before="40" w:after="120"/>
        <w:ind w:firstLine="283"/>
        <w:jc w:val="both"/>
      </w:pPr>
      <w:r>
        <w:rPr>
          <w:rFonts w:ascii="Times New Roman" w:hAnsi="Times New Roman"/>
          <w:b/>
          <w:i/>
          <w:sz w:val="22"/>
          <w:rFonts w:ascii="Times New Roman" w:hAnsi="Times New Roman" w:cs="Times New Roman" w:eastAsia="Times New Roman"/>
        </w:rPr>
        <w:t xml:space="preserve">Hướng dẫn dẫn chiếu: </w:t>
      </w:r>
      <w:r>
        <w:rPr>
          <w:rFonts w:ascii="Times New Roman" w:hAnsi="Times New Roman"/>
          <w:i/>
          <w:sz w:val="22"/>
          <w:rFonts w:ascii="Times New Roman" w:hAnsi="Times New Roman" w:cs="Times New Roman" w:eastAsia="Times New Roman"/>
        </w:rPr>
        <w:t>Dẫn chiếu ở Mục 1 (Đặt vấn đề) để chứng minh tầm quan trọng của dự báo phụ tải ngắn hạn đối với hiệu năng hoạt động của HEMS.</w:t>
      </w:r>
    </w:p>
    <w:p>
      <w:pPr>
        <w:spacing w:before="60" w:after="60" w:line="240" w:lineRule="auto"/>
        <w:ind w:firstLine="0"/>
        <w:jc w:val="both"/>
      </w:pPr>
      <w:r>
        <w:rPr>
          <w:rFonts w:ascii="Times New Roman" w:hAnsi="Times New Roman"/>
          <w:b/>
          <w:sz w:val="24"/>
          <w:rFonts w:ascii="Times New Roman" w:hAnsi="Times New Roman" w:cs="Times New Roman" w:eastAsia="Times New Roman"/>
        </w:rPr>
        <w:t xml:space="preserve">[3] </w:t>
      </w:r>
      <w:r>
        <w:rPr>
          <w:rFonts w:ascii="Times New Roman" w:hAnsi="Times New Roman"/>
          <w:b/>
          <w:sz w:val="24"/>
          <w:rFonts w:ascii="Times New Roman" w:hAnsi="Times New Roman" w:cs="Times New Roman" w:eastAsia="Times New Roman"/>
        </w:rPr>
        <w:t xml:space="preserve">Tai CS, Hong JH, Hong DY, Fu LC. </w:t>
      </w:r>
      <w:r>
        <w:rPr>
          <w:rFonts w:ascii="Times New Roman" w:hAnsi="Times New Roman"/>
          <w:sz w:val="24"/>
          <w:rFonts w:ascii="Times New Roman" w:hAnsi="Times New Roman" w:cs="Times New Roman" w:eastAsia="Times New Roman"/>
        </w:rPr>
        <w:t xml:space="preserve">A real-time demand-side management system considering user preference with adaptive deep Q learning in home area network. </w:t>
      </w:r>
      <w:r>
        <w:rPr>
          <w:rFonts w:ascii="Times New Roman" w:hAnsi="Times New Roman"/>
          <w:i/>
          <w:sz w:val="24"/>
          <w:rFonts w:ascii="Times New Roman" w:hAnsi="Times New Roman" w:cs="Times New Roman" w:eastAsia="Times New Roman"/>
        </w:rPr>
        <w:t xml:space="preserve">Sustain Energy Grids Netw. </w:t>
      </w:r>
      <w:r>
        <w:rPr>
          <w:rFonts w:ascii="Times New Roman" w:hAnsi="Times New Roman"/>
          <w:sz w:val="24"/>
          <w:rFonts w:ascii="Times New Roman" w:hAnsi="Times New Roman" w:cs="Times New Roman" w:eastAsia="Times New Roman"/>
        </w:rPr>
        <w:t xml:space="preserve">2022; 29: 100572. </w:t>
      </w:r>
    </w:p>
    <w:p>
      <w:pPr>
        <w:spacing w:before="40" w:after="120"/>
        <w:ind w:firstLine="283"/>
        <w:jc w:val="both"/>
      </w:pPr>
      <w:r>
        <w:rPr>
          <w:rFonts w:ascii="Times New Roman" w:hAnsi="Times New Roman"/>
          <w:b/>
          <w:i/>
          <w:sz w:val="22"/>
          <w:rFonts w:ascii="Times New Roman" w:hAnsi="Times New Roman" w:cs="Times New Roman" w:eastAsia="Times New Roman"/>
        </w:rPr>
        <w:t xml:space="preserve">Hướng dẫn dẫn chiếu: </w:t>
      </w:r>
      <w:r>
        <w:rPr>
          <w:rFonts w:ascii="Times New Roman" w:hAnsi="Times New Roman"/>
          <w:i/>
          <w:sz w:val="22"/>
          <w:rFonts w:ascii="Times New Roman" w:hAnsi="Times New Roman" w:cs="Times New Roman" w:eastAsia="Times New Roman"/>
        </w:rPr>
        <w:t>Dẫn chiếu ở Mục 1 (Đặt vấn đề) và Mục 2.4 (Thuật toán sa thải tải) khi lập luận về sự cần thiết của việc tối ưu hóa năng lượng dựa theo thói quen người dùng.</w:t>
      </w:r>
    </w:p>
    <w:p>
      <w:pPr>
        <w:spacing w:before="60" w:after="60" w:line="240" w:lineRule="auto"/>
        <w:ind w:firstLine="0"/>
        <w:jc w:val="both"/>
      </w:pPr>
      <w:r>
        <w:rPr>
          <w:rFonts w:ascii="Times New Roman" w:hAnsi="Times New Roman"/>
          <w:b/>
          <w:sz w:val="24"/>
          <w:rFonts w:ascii="Times New Roman" w:hAnsi="Times New Roman" w:cs="Times New Roman" w:eastAsia="Times New Roman"/>
        </w:rPr>
        <w:t xml:space="preserve">[4] </w:t>
      </w:r>
      <w:r>
        <w:rPr>
          <w:rFonts w:ascii="Times New Roman" w:hAnsi="Times New Roman"/>
          <w:b/>
          <w:sz w:val="24"/>
          <w:rFonts w:ascii="Times New Roman" w:hAnsi="Times New Roman" w:cs="Times New Roman" w:eastAsia="Times New Roman"/>
        </w:rPr>
        <w:t xml:space="preserve">Syufrijal, Wicaksono R, Rif'an M, Anugerah R. </w:t>
      </w:r>
      <w:r>
        <w:rPr>
          <w:rFonts w:ascii="Times New Roman" w:hAnsi="Times New Roman"/>
          <w:sz w:val="24"/>
          <w:rFonts w:ascii="Times New Roman" w:hAnsi="Times New Roman" w:cs="Times New Roman" w:eastAsia="Times New Roman"/>
        </w:rPr>
        <w:t xml:space="preserve">IoT Based Smart Energy Meter Using Modbus Protocol as Electricity Saving Effort. </w:t>
      </w:r>
      <w:r>
        <w:rPr>
          <w:rFonts w:ascii="Times New Roman" w:hAnsi="Times New Roman"/>
          <w:i/>
          <w:sz w:val="24"/>
          <w:rFonts w:ascii="Times New Roman" w:hAnsi="Times New Roman" w:cs="Times New Roman" w:eastAsia="Times New Roman"/>
        </w:rPr>
        <w:t xml:space="preserve">J Phys Conf Ser. </w:t>
      </w:r>
      <w:r>
        <w:rPr>
          <w:rFonts w:ascii="Times New Roman" w:hAnsi="Times New Roman"/>
          <w:sz w:val="24"/>
          <w:rFonts w:ascii="Times New Roman" w:hAnsi="Times New Roman" w:cs="Times New Roman" w:eastAsia="Times New Roman"/>
        </w:rPr>
        <w:t xml:space="preserve">2023; 2517(1): 012017. </w:t>
      </w:r>
    </w:p>
    <w:p>
      <w:pPr>
        <w:spacing w:before="40" w:after="120"/>
        <w:ind w:firstLine="283"/>
        <w:jc w:val="both"/>
      </w:pPr>
      <w:r>
        <w:rPr>
          <w:rFonts w:ascii="Times New Roman" w:hAnsi="Times New Roman"/>
          <w:b/>
          <w:i/>
          <w:sz w:val="22"/>
          <w:rFonts w:ascii="Times New Roman" w:hAnsi="Times New Roman" w:cs="Times New Roman" w:eastAsia="Times New Roman"/>
        </w:rPr>
        <w:t xml:space="preserve">Hướng dẫn dẫn chiếu: </w:t>
      </w:r>
      <w:r>
        <w:rPr>
          <w:rFonts w:ascii="Times New Roman" w:hAnsi="Times New Roman"/>
          <w:i/>
          <w:sz w:val="22"/>
          <w:rFonts w:ascii="Times New Roman" w:hAnsi="Times New Roman" w:cs="Times New Roman" w:eastAsia="Times New Roman"/>
        </w:rPr>
        <w:t>Dẫn chiếu ở Mục 2.2 (Lập trình PLC S7-1200) để mô tả tính khả thi khi kết hợp PLC và công tơ thông minh qua Modbus RTU RS485 phục vụ tiết kiệm điện gia đình.</w:t>
      </w:r>
    </w:p>
    <w:p>
      <w:pPr>
        <w:spacing w:before="60" w:after="60" w:line="240" w:lineRule="auto"/>
        <w:ind w:firstLine="0"/>
        <w:jc w:val="both"/>
      </w:pPr>
      <w:r>
        <w:rPr>
          <w:rFonts w:ascii="Times New Roman" w:hAnsi="Times New Roman"/>
          <w:b/>
          <w:sz w:val="24"/>
          <w:rFonts w:ascii="Times New Roman" w:hAnsi="Times New Roman" w:cs="Times New Roman" w:eastAsia="Times New Roman"/>
        </w:rPr>
        <w:t xml:space="preserve">[5] </w:t>
      </w:r>
      <w:r>
        <w:rPr>
          <w:rFonts w:ascii="Times New Roman" w:hAnsi="Times New Roman"/>
          <w:b/>
          <w:sz w:val="24"/>
          <w:rFonts w:ascii="Times New Roman" w:hAnsi="Times New Roman" w:cs="Times New Roman" w:eastAsia="Times New Roman"/>
        </w:rPr>
        <w:t xml:space="preserve">Krause D. </w:t>
      </w:r>
      <w:r>
        <w:rPr>
          <w:rFonts w:ascii="Times New Roman" w:hAnsi="Times New Roman"/>
          <w:sz w:val="24"/>
          <w:rFonts w:ascii="Times New Roman" w:hAnsi="Times New Roman" w:cs="Times New Roman" w:eastAsia="Times New Roman"/>
        </w:rPr>
        <w:t xml:space="preserve">PLC for Energy Meter Logging: S7-1200 Modbus Storage Solution. </w:t>
      </w:r>
      <w:r>
        <w:rPr>
          <w:rFonts w:ascii="Times New Roman" w:hAnsi="Times New Roman"/>
          <w:i/>
          <w:sz w:val="24"/>
          <w:rFonts w:ascii="Times New Roman" w:hAnsi="Times New Roman" w:cs="Times New Roman" w:eastAsia="Times New Roman"/>
        </w:rPr>
        <w:t xml:space="preserve">Industrial Monitor Direct Application Note. </w:t>
      </w:r>
      <w:r>
        <w:rPr>
          <w:rFonts w:ascii="Times New Roman" w:hAnsi="Times New Roman"/>
          <w:sz w:val="24"/>
          <w:rFonts w:ascii="Times New Roman" w:hAnsi="Times New Roman" w:cs="Times New Roman" w:eastAsia="Times New Roman"/>
        </w:rPr>
        <w:t xml:space="preserve">2026. </w:t>
      </w:r>
    </w:p>
    <w:p>
      <w:pPr>
        <w:spacing w:before="40" w:after="120"/>
        <w:ind w:firstLine="283"/>
        <w:jc w:val="both"/>
      </w:pPr>
      <w:r>
        <w:rPr>
          <w:rFonts w:ascii="Times New Roman" w:hAnsi="Times New Roman"/>
          <w:b/>
          <w:i/>
          <w:sz w:val="22"/>
          <w:rFonts w:ascii="Times New Roman" w:hAnsi="Times New Roman" w:cs="Times New Roman" w:eastAsia="Times New Roman"/>
        </w:rPr>
        <w:t xml:space="preserve">Hướng dẫn dẫn chiếu: </w:t>
      </w:r>
      <w:r>
        <w:rPr>
          <w:rFonts w:ascii="Times New Roman" w:hAnsi="Times New Roman"/>
          <w:i/>
          <w:sz w:val="22"/>
          <w:rFonts w:ascii="Times New Roman" w:hAnsi="Times New Roman" w:cs="Times New Roman" w:eastAsia="Times New Roman"/>
        </w:rPr>
        <w:t>Dẫn chiếu ở Mục 2.2 làm tài liệu tham khảo cho việc cấu hình cổng truyền thông CM 1241 và các khối hàm Modbus Master trên TIA Portal.</w:t>
      </w:r>
    </w:p>
    <w:p>
      <w:pPr>
        <w:spacing w:before="60" w:after="60" w:line="240" w:lineRule="auto"/>
        <w:ind w:firstLine="0"/>
        <w:jc w:val="both"/>
      </w:pPr>
      <w:r>
        <w:rPr>
          <w:rFonts w:ascii="Times New Roman" w:hAnsi="Times New Roman"/>
          <w:b/>
          <w:sz w:val="24"/>
          <w:rFonts w:ascii="Times New Roman" w:hAnsi="Times New Roman" w:cs="Times New Roman" w:eastAsia="Times New Roman"/>
        </w:rPr>
        <w:t xml:space="preserve">[6] </w:t>
      </w:r>
      <w:r>
        <w:rPr>
          <w:rFonts w:ascii="Times New Roman" w:hAnsi="Times New Roman"/>
          <w:b/>
          <w:sz w:val="24"/>
          <w:rFonts w:ascii="Times New Roman" w:hAnsi="Times New Roman" w:cs="Times New Roman" w:eastAsia="Times New Roman"/>
        </w:rPr>
        <w:t xml:space="preserve">Gomez D, Pantoja S, Acosta E, et al. </w:t>
      </w:r>
      <w:r>
        <w:rPr>
          <w:rFonts w:ascii="Times New Roman" w:hAnsi="Times New Roman"/>
          <w:sz w:val="24"/>
          <w:rFonts w:ascii="Times New Roman" w:hAnsi="Times New Roman" w:cs="Times New Roman" w:eastAsia="Times New Roman"/>
        </w:rPr>
        <w:t xml:space="preserve">Automated system for OEE management in the industrial sector. </w:t>
      </w:r>
      <w:r>
        <w:rPr>
          <w:rFonts w:ascii="Times New Roman" w:hAnsi="Times New Roman"/>
          <w:i/>
          <w:sz w:val="24"/>
          <w:rFonts w:ascii="Times New Roman" w:hAnsi="Times New Roman" w:cs="Times New Roman" w:eastAsia="Times New Roman"/>
        </w:rPr>
        <w:t xml:space="preserve">REVISTAS UTB. </w:t>
      </w:r>
      <w:r>
        <w:rPr>
          <w:rFonts w:ascii="Times New Roman" w:hAnsi="Times New Roman"/>
          <w:sz w:val="24"/>
          <w:rFonts w:ascii="Times New Roman" w:hAnsi="Times New Roman" w:cs="Times New Roman" w:eastAsia="Times New Roman"/>
        </w:rPr>
        <w:t xml:space="preserve">2025; 6(1): 810. </w:t>
      </w:r>
    </w:p>
    <w:p>
      <w:pPr>
        <w:spacing w:before="40" w:after="120"/>
        <w:ind w:firstLine="283"/>
        <w:jc w:val="both"/>
      </w:pPr>
      <w:r>
        <w:rPr>
          <w:rFonts w:ascii="Times New Roman" w:hAnsi="Times New Roman"/>
          <w:b/>
          <w:i/>
          <w:sz w:val="22"/>
          <w:rFonts w:ascii="Times New Roman" w:hAnsi="Times New Roman" w:cs="Times New Roman" w:eastAsia="Times New Roman"/>
        </w:rPr>
        <w:t xml:space="preserve">Hướng dẫn dẫn chiếu: </w:t>
      </w:r>
      <w:r>
        <w:rPr>
          <w:rFonts w:ascii="Times New Roman" w:hAnsi="Times New Roman"/>
          <w:i/>
          <w:sz w:val="22"/>
          <w:rFonts w:ascii="Times New Roman" w:hAnsi="Times New Roman" w:cs="Times New Roman" w:eastAsia="Times New Roman"/>
        </w:rPr>
        <w:t>Dẫn chiếu ở Mục 2.3 (Phần mềm Backend) để đối chiếu giải pháp giao tiếp không xâm nhập (non-intrusive) đọc dữ liệu PLC qua thư viện Snap7.</w:t>
      </w:r>
    </w:p>
    <w:p>
      <w:pPr>
        <w:spacing w:before="60" w:after="60" w:line="240" w:lineRule="auto"/>
        <w:ind w:firstLine="0"/>
        <w:jc w:val="both"/>
      </w:pPr>
      <w:r>
        <w:rPr>
          <w:rFonts w:ascii="Times New Roman" w:hAnsi="Times New Roman"/>
          <w:b/>
          <w:sz w:val="24"/>
          <w:rFonts w:ascii="Times New Roman" w:hAnsi="Times New Roman" w:cs="Times New Roman" w:eastAsia="Times New Roman"/>
        </w:rPr>
        <w:t xml:space="preserve">[7] </w:t>
      </w:r>
      <w:r>
        <w:rPr>
          <w:rFonts w:ascii="Times New Roman" w:hAnsi="Times New Roman"/>
          <w:b/>
          <w:sz w:val="24"/>
          <w:rFonts w:ascii="Times New Roman" w:hAnsi="Times New Roman" w:cs="Times New Roman" w:eastAsia="Times New Roman"/>
        </w:rPr>
        <w:t xml:space="preserve">Kleinmann A, Wool A. </w:t>
      </w:r>
      <w:r>
        <w:rPr>
          <w:rFonts w:ascii="Times New Roman" w:hAnsi="Times New Roman"/>
          <w:sz w:val="24"/>
          <w:rFonts w:ascii="Times New Roman" w:hAnsi="Times New Roman" w:cs="Times New Roman" w:eastAsia="Times New Roman"/>
        </w:rPr>
        <w:t xml:space="preserve">Accurate Modeling of the Siemens S7 SCADA Protocol for Intrusion Detection and Digital Forensics. </w:t>
      </w:r>
      <w:r>
        <w:rPr>
          <w:rFonts w:ascii="Times New Roman" w:hAnsi="Times New Roman"/>
          <w:i/>
          <w:sz w:val="24"/>
          <w:rFonts w:ascii="Times New Roman" w:hAnsi="Times New Roman" w:cs="Times New Roman" w:eastAsia="Times New Roman"/>
        </w:rPr>
        <w:t xml:space="preserve">JDFSL. </w:t>
      </w:r>
      <w:r>
        <w:rPr>
          <w:rFonts w:ascii="Times New Roman" w:hAnsi="Times New Roman"/>
          <w:sz w:val="24"/>
          <w:rFonts w:ascii="Times New Roman" w:hAnsi="Times New Roman" w:cs="Times New Roman" w:eastAsia="Times New Roman"/>
        </w:rPr>
        <w:t xml:space="preserve">2014; 9(2): 45-58. </w:t>
      </w:r>
    </w:p>
    <w:p>
      <w:pPr>
        <w:spacing w:before="40" w:after="120"/>
        <w:ind w:firstLine="283"/>
        <w:jc w:val="both"/>
      </w:pPr>
      <w:r>
        <w:rPr>
          <w:rFonts w:ascii="Times New Roman" w:hAnsi="Times New Roman"/>
          <w:b/>
          <w:i/>
          <w:sz w:val="22"/>
          <w:rFonts w:ascii="Times New Roman" w:hAnsi="Times New Roman" w:cs="Times New Roman" w:eastAsia="Times New Roman"/>
        </w:rPr>
        <w:t xml:space="preserve">Hướng dẫn dẫn chiếu: </w:t>
      </w:r>
      <w:r>
        <w:rPr>
          <w:rFonts w:ascii="Times New Roman" w:hAnsi="Times New Roman"/>
          <w:i/>
          <w:sz w:val="22"/>
          <w:rFonts w:ascii="Times New Roman" w:hAnsi="Times New Roman" w:cs="Times New Roman" w:eastAsia="Times New Roman"/>
        </w:rPr>
        <w:t>Dẫn chiếu ở Mục 2.3 khi mô tả an ninh mạng giao thức S7 Protocol và lý do cần API Backend làm trung gian bảo mật thay vì kết nối trực tiếp từ App di động.</w:t>
      </w:r>
    </w:p>
    <w:p>
      <w:pPr>
        <w:spacing w:before="60" w:after="60" w:line="240" w:lineRule="auto"/>
        <w:ind w:firstLine="0"/>
        <w:jc w:val="both"/>
      </w:pPr>
      <w:r>
        <w:rPr>
          <w:rFonts w:ascii="Times New Roman" w:hAnsi="Times New Roman"/>
          <w:b/>
          <w:sz w:val="24"/>
          <w:rFonts w:ascii="Times New Roman" w:hAnsi="Times New Roman" w:cs="Times New Roman" w:eastAsia="Times New Roman"/>
        </w:rPr>
        <w:t xml:space="preserve">[8] </w:t>
      </w:r>
      <w:r>
        <w:rPr>
          <w:rFonts w:ascii="Times New Roman" w:hAnsi="Times New Roman"/>
          <w:b/>
          <w:sz w:val="24"/>
          <w:rFonts w:ascii="Times New Roman" w:hAnsi="Times New Roman" w:cs="Times New Roman" w:eastAsia="Times New Roman"/>
        </w:rPr>
        <w:t xml:space="preserve">Zhao X, Li Q, Xue W, et al. </w:t>
      </w:r>
      <w:r>
        <w:rPr>
          <w:rFonts w:ascii="Times New Roman" w:hAnsi="Times New Roman"/>
          <w:sz w:val="24"/>
          <w:rFonts w:ascii="Times New Roman" w:hAnsi="Times New Roman" w:cs="Times New Roman" w:eastAsia="Times New Roman"/>
        </w:rPr>
        <w:t xml:space="preserve">Research on Ultra-Short-Term Load Forecasting Based on Real-Time Electricity Price and Window-Based XGBoost Model. </w:t>
      </w:r>
      <w:r>
        <w:rPr>
          <w:rFonts w:ascii="Times New Roman" w:hAnsi="Times New Roman"/>
          <w:i/>
          <w:sz w:val="24"/>
          <w:rFonts w:ascii="Times New Roman" w:hAnsi="Times New Roman" w:cs="Times New Roman" w:eastAsia="Times New Roman"/>
        </w:rPr>
        <w:t xml:space="preserve">Energies. </w:t>
      </w:r>
      <w:r>
        <w:rPr>
          <w:rFonts w:ascii="Times New Roman" w:hAnsi="Times New Roman"/>
          <w:sz w:val="24"/>
          <w:rFonts w:ascii="Times New Roman" w:hAnsi="Times New Roman" w:cs="Times New Roman" w:eastAsia="Times New Roman"/>
        </w:rPr>
        <w:t xml:space="preserve">2022; 15(19): 7367. </w:t>
      </w:r>
    </w:p>
    <w:p>
      <w:pPr>
        <w:spacing w:before="40" w:after="120"/>
        <w:ind w:firstLine="283"/>
        <w:jc w:val="both"/>
      </w:pPr>
      <w:r>
        <w:rPr>
          <w:rFonts w:ascii="Times New Roman" w:hAnsi="Times New Roman"/>
          <w:b/>
          <w:i/>
          <w:sz w:val="22"/>
          <w:rFonts w:ascii="Times New Roman" w:hAnsi="Times New Roman" w:cs="Times New Roman" w:eastAsia="Times New Roman"/>
        </w:rPr>
        <w:t xml:space="preserve">Hướng dẫn dẫn chiếu: </w:t>
      </w:r>
      <w:r>
        <w:rPr>
          <w:rFonts w:ascii="Times New Roman" w:hAnsi="Times New Roman"/>
          <w:i/>
          <w:sz w:val="22"/>
          <w:rFonts w:ascii="Times New Roman" w:hAnsi="Times New Roman" w:cs="Times New Roman" w:eastAsia="Times New Roman"/>
        </w:rPr>
        <w:t>Dẫn chiếu ở Mục 2.4 (Thuật toán dự báo) làm nền tảng lý thuyết xây dựng mô hình dự báo phụ tải siêu ngắn hạn sử dụng thuật toán XGBoost.</w:t>
      </w:r>
    </w:p>
    <w:p>
      <w:pPr>
        <w:spacing w:before="60" w:after="60" w:line="240" w:lineRule="auto"/>
        <w:ind w:firstLine="0"/>
        <w:jc w:val="both"/>
      </w:pPr>
      <w:r>
        <w:rPr>
          <w:rFonts w:ascii="Times New Roman" w:hAnsi="Times New Roman"/>
          <w:b/>
          <w:sz w:val="24"/>
          <w:rFonts w:ascii="Times New Roman" w:hAnsi="Times New Roman" w:cs="Times New Roman" w:eastAsia="Times New Roman"/>
        </w:rPr>
        <w:t xml:space="preserve">[9] </w:t>
      </w:r>
      <w:r>
        <w:rPr>
          <w:rFonts w:ascii="Times New Roman" w:hAnsi="Times New Roman"/>
          <w:b/>
          <w:sz w:val="24"/>
          <w:rFonts w:ascii="Times New Roman" w:hAnsi="Times New Roman" w:cs="Times New Roman" w:eastAsia="Times New Roman"/>
        </w:rPr>
        <w:t xml:space="preserve">Beloev HI, Saitov SR, Filimonova AA, et al. </w:t>
      </w:r>
      <w:r>
        <w:rPr>
          <w:rFonts w:ascii="Times New Roman" w:hAnsi="Times New Roman"/>
          <w:sz w:val="24"/>
          <w:rFonts w:ascii="Times New Roman" w:hAnsi="Times New Roman" w:cs="Times New Roman" w:eastAsia="Times New Roman"/>
        </w:rPr>
        <w:t xml:space="preserve">Short-Term Electrical Load Forecasting Based on XGBoost Model. </w:t>
      </w:r>
      <w:r>
        <w:rPr>
          <w:rFonts w:ascii="Times New Roman" w:hAnsi="Times New Roman"/>
          <w:i/>
          <w:sz w:val="24"/>
          <w:rFonts w:ascii="Times New Roman" w:hAnsi="Times New Roman" w:cs="Times New Roman" w:eastAsia="Times New Roman"/>
        </w:rPr>
        <w:t xml:space="preserve">Energies. </w:t>
      </w:r>
      <w:r>
        <w:rPr>
          <w:rFonts w:ascii="Times New Roman" w:hAnsi="Times New Roman"/>
          <w:sz w:val="24"/>
          <w:rFonts w:ascii="Times New Roman" w:hAnsi="Times New Roman" w:cs="Times New Roman" w:eastAsia="Times New Roman"/>
        </w:rPr>
        <w:t xml:space="preserve">2025; 18(19): 5144. </w:t>
      </w:r>
    </w:p>
    <w:p>
      <w:pPr>
        <w:spacing w:before="40" w:after="120"/>
        <w:ind w:firstLine="283"/>
        <w:jc w:val="both"/>
      </w:pPr>
      <w:r>
        <w:rPr>
          <w:rFonts w:ascii="Times New Roman" w:hAnsi="Times New Roman"/>
          <w:b/>
          <w:i/>
          <w:sz w:val="22"/>
          <w:rFonts w:ascii="Times New Roman" w:hAnsi="Times New Roman" w:cs="Times New Roman" w:eastAsia="Times New Roman"/>
        </w:rPr>
        <w:t xml:space="preserve">Hướng dẫn dẫn chiếu: </w:t>
      </w:r>
      <w:r>
        <w:rPr>
          <w:rFonts w:ascii="Times New Roman" w:hAnsi="Times New Roman"/>
          <w:i/>
          <w:sz w:val="22"/>
          <w:rFonts w:ascii="Times New Roman" w:hAnsi="Times New Roman" w:cs="Times New Roman" w:eastAsia="Times New Roman"/>
        </w:rPr>
        <w:t>Dẫn chiếu ở Mục 2.4 và Chương 3 làm căn cứ đối chứng để so sánh tính hiệu quả kinh tế và sai số dự báo phụ tải ngắn hạn của mô hình XGBoost.</w:t>
      </w:r>
    </w:p>
    <w:p>
      <w:pPr>
        <w:spacing w:before="60" w:after="60" w:line="240" w:lineRule="auto"/>
        <w:ind w:firstLine="0"/>
        <w:jc w:val="both"/>
      </w:pPr>
      <w:r>
        <w:rPr>
          <w:rFonts w:ascii="Times New Roman" w:hAnsi="Times New Roman"/>
          <w:b/>
          <w:sz w:val="24"/>
          <w:rFonts w:ascii="Times New Roman" w:hAnsi="Times New Roman" w:cs="Times New Roman" w:eastAsia="Times New Roman"/>
        </w:rPr>
        <w:t xml:space="preserve">[10] </w:t>
      </w:r>
      <w:r>
        <w:rPr>
          <w:rFonts w:ascii="Times New Roman" w:hAnsi="Times New Roman"/>
          <w:b/>
          <w:sz w:val="24"/>
          <w:rFonts w:ascii="Times New Roman" w:hAnsi="Times New Roman" w:cs="Times New Roman" w:eastAsia="Times New Roman"/>
        </w:rPr>
        <w:t xml:space="preserve">Barja-Martinez S, Teng F, Junyent-Ferré A, Aragüés-Peñalba M. </w:t>
      </w:r>
      <w:r>
        <w:rPr>
          <w:rFonts w:ascii="Times New Roman" w:hAnsi="Times New Roman"/>
          <w:sz w:val="24"/>
          <w:rFonts w:ascii="Times New Roman" w:hAnsi="Times New Roman" w:cs="Times New Roman" w:eastAsia="Times New Roman"/>
        </w:rPr>
        <w:t xml:space="preserve">Personalized federated learning with cost-oriented load forecasting for home energy management systems. </w:t>
      </w:r>
      <w:r>
        <w:rPr>
          <w:rFonts w:ascii="Times New Roman" w:hAnsi="Times New Roman"/>
          <w:i/>
          <w:sz w:val="24"/>
          <w:rFonts w:ascii="Times New Roman" w:hAnsi="Times New Roman" w:cs="Times New Roman" w:eastAsia="Times New Roman"/>
        </w:rPr>
        <w:t xml:space="preserve">IEEE Trans Ind Appl. </w:t>
      </w:r>
      <w:r>
        <w:rPr>
          <w:rFonts w:ascii="Times New Roman" w:hAnsi="Times New Roman"/>
          <w:sz w:val="24"/>
          <w:rFonts w:ascii="Times New Roman" w:hAnsi="Times New Roman" w:cs="Times New Roman" w:eastAsia="Times New Roman"/>
        </w:rPr>
        <w:t xml:space="preserve">2025; 61(1): 1410-1419. </w:t>
      </w:r>
    </w:p>
    <w:p>
      <w:pPr>
        <w:spacing w:before="40" w:after="120"/>
        <w:ind w:firstLine="283"/>
        <w:jc w:val="both"/>
      </w:pPr>
      <w:r>
        <w:rPr>
          <w:rFonts w:ascii="Times New Roman" w:hAnsi="Times New Roman"/>
          <w:b/>
          <w:i/>
          <w:sz w:val="22"/>
          <w:rFonts w:ascii="Times New Roman" w:hAnsi="Times New Roman" w:cs="Times New Roman" w:eastAsia="Times New Roman"/>
        </w:rPr>
        <w:t xml:space="preserve">Hướng dẫn dẫn chiếu: </w:t>
      </w:r>
      <w:r>
        <w:rPr>
          <w:rFonts w:ascii="Times New Roman" w:hAnsi="Times New Roman"/>
          <w:i/>
          <w:sz w:val="22"/>
          <w:rFonts w:ascii="Times New Roman" w:hAnsi="Times New Roman" w:cs="Times New Roman" w:eastAsia="Times New Roman"/>
        </w:rPr>
        <w:t>Dẫn chiếu ở Mục 2.4 để củng cố lập luận thiết kế hàm tối ưu dự báo hướng chi phí (cost-oriented) phục vụ lợi ích kinh tế trực tiếp cho hộ gia đình.</w:t>
      </w:r>
    </w:p>
    <w:p>
      <w:pPr>
        <w:spacing w:before="60" w:after="60" w:line="240" w:lineRule="auto"/>
        <w:ind w:firstLine="0"/>
        <w:jc w:val="both"/>
      </w:pPr>
      <w:r>
        <w:rPr>
          <w:rFonts w:ascii="Times New Roman" w:hAnsi="Times New Roman"/>
          <w:b/>
          <w:sz w:val="24"/>
          <w:rFonts w:ascii="Times New Roman" w:hAnsi="Times New Roman" w:cs="Times New Roman" w:eastAsia="Times New Roman"/>
        </w:rPr>
        <w:t xml:space="preserve">[11] </w:t>
      </w:r>
      <w:r>
        <w:rPr>
          <w:rFonts w:ascii="Times New Roman" w:hAnsi="Times New Roman"/>
          <w:b/>
          <w:sz w:val="24"/>
          <w:rFonts w:ascii="Times New Roman" w:hAnsi="Times New Roman" w:cs="Times New Roman" w:eastAsia="Times New Roman"/>
        </w:rPr>
        <w:t xml:space="preserve">Liu S, Xie Z, Hu Z, Zhang K, Gao W, Liu X. </w:t>
      </w:r>
      <w:r>
        <w:rPr>
          <w:rFonts w:ascii="Times New Roman" w:hAnsi="Times New Roman"/>
          <w:sz w:val="24"/>
          <w:rFonts w:ascii="Times New Roman" w:hAnsi="Times New Roman" w:cs="Times New Roman" w:eastAsia="Times New Roman"/>
        </w:rPr>
        <w:t xml:space="preserve">Ultra-Short-Term Forecasting-Based Optimization for Proactive Home Energy Management. </w:t>
      </w:r>
      <w:r>
        <w:rPr>
          <w:rFonts w:ascii="Times New Roman" w:hAnsi="Times New Roman"/>
          <w:i/>
          <w:sz w:val="24"/>
          <w:rFonts w:ascii="Times New Roman" w:hAnsi="Times New Roman" w:cs="Times New Roman" w:eastAsia="Times New Roman"/>
        </w:rPr>
        <w:t xml:space="preserve">Energies. </w:t>
      </w:r>
      <w:r>
        <w:rPr>
          <w:rFonts w:ascii="Times New Roman" w:hAnsi="Times New Roman"/>
          <w:sz w:val="24"/>
          <w:rFonts w:ascii="Times New Roman" w:hAnsi="Times New Roman" w:cs="Times New Roman" w:eastAsia="Times New Roman"/>
        </w:rPr>
        <w:t xml:space="preserve">2025; 18(15): 3936. </w:t>
      </w:r>
    </w:p>
    <w:p>
      <w:pPr>
        <w:spacing w:before="40" w:after="120"/>
        <w:ind w:firstLine="283"/>
        <w:jc w:val="both"/>
      </w:pPr>
      <w:r>
        <w:rPr>
          <w:rFonts w:ascii="Times New Roman" w:hAnsi="Times New Roman"/>
          <w:b/>
          <w:i/>
          <w:sz w:val="22"/>
          <w:rFonts w:ascii="Times New Roman" w:hAnsi="Times New Roman" w:cs="Times New Roman" w:eastAsia="Times New Roman"/>
        </w:rPr>
        <w:t xml:space="preserve">Hướng dẫn dẫn chiếu: </w:t>
      </w:r>
      <w:r>
        <w:rPr>
          <w:rFonts w:ascii="Times New Roman" w:hAnsi="Times New Roman"/>
          <w:i/>
          <w:sz w:val="22"/>
          <w:rFonts w:ascii="Times New Roman" w:hAnsi="Times New Roman" w:cs="Times New Roman" w:eastAsia="Times New Roman"/>
        </w:rPr>
        <w:t>Dẫn chiếu ở Chương 3 (Kết quả thực nghiệm) khi thảo luận về hiệu năng cải thiện khi kết hợp dự báo phụ tải siêu ngắn hạn và điều khiển tối ưu hóa đa mục tiêu.</w:t>
      </w:r>
    </w:p>
    <w:p>
      <w:pPr>
        <w:spacing w:before="60" w:after="60" w:line="240" w:lineRule="auto"/>
        <w:ind w:firstLine="0"/>
        <w:jc w:val="both"/>
      </w:pPr>
      <w:r>
        <w:rPr>
          <w:rFonts w:ascii="Times New Roman" w:hAnsi="Times New Roman"/>
          <w:b/>
          <w:sz w:val="24"/>
          <w:rFonts w:ascii="Times New Roman" w:hAnsi="Times New Roman" w:cs="Times New Roman" w:eastAsia="Times New Roman"/>
        </w:rPr>
        <w:t xml:space="preserve">[12] </w:t>
      </w:r>
      <w:r>
        <w:rPr>
          <w:rFonts w:ascii="Times New Roman" w:hAnsi="Times New Roman"/>
          <w:b/>
          <w:sz w:val="24"/>
          <w:rFonts w:ascii="Times New Roman" w:hAnsi="Times New Roman" w:cs="Times New Roman" w:eastAsia="Times New Roman"/>
        </w:rPr>
        <w:t xml:space="preserve">[Tác giả ẩn danh]. </w:t>
      </w:r>
      <w:r>
        <w:rPr>
          <w:rFonts w:ascii="Times New Roman" w:hAnsi="Times New Roman"/>
          <w:sz w:val="24"/>
          <w:rFonts w:ascii="Times New Roman" w:hAnsi="Times New Roman" w:cs="Times New Roman" w:eastAsia="Times New Roman"/>
        </w:rPr>
        <w:t xml:space="preserve">Nghiên cứu, thiết kế và triển khai hệ thống quản trị năng lượng nhà thông minh (HEMS) tích hợp PLC Siemens S7-1200 và Trí tuệ nhân tạo dự báo phụ tải. </w:t>
      </w:r>
      <w:r>
        <w:rPr>
          <w:rFonts w:ascii="Times New Roman" w:hAnsi="Times New Roman"/>
          <w:i/>
          <w:sz w:val="24"/>
          <w:rFonts w:ascii="Times New Roman" w:hAnsi="Times New Roman" w:cs="Times New Roman" w:eastAsia="Times New Roman"/>
        </w:rPr>
        <w:t xml:space="preserve">Tài liệu kỹ thuật dự án HEMS. </w:t>
      </w:r>
      <w:r>
        <w:rPr>
          <w:rFonts w:ascii="Times New Roman" w:hAnsi="Times New Roman"/>
          <w:sz w:val="24"/>
          <w:rFonts w:ascii="Times New Roman" w:hAnsi="Times New Roman" w:cs="Times New Roman" w:eastAsia="Times New Roman"/>
        </w:rPr>
        <w:t xml:space="preserve">2026. </w:t>
      </w:r>
    </w:p>
    <w:p>
      <w:pPr>
        <w:spacing w:before="40" w:after="120"/>
        <w:ind w:firstLine="283"/>
        <w:jc w:val="both"/>
      </w:pPr>
      <w:r>
        <w:rPr>
          <w:rFonts w:ascii="Times New Roman" w:hAnsi="Times New Roman"/>
          <w:b/>
          <w:i/>
          <w:sz w:val="22"/>
          <w:rFonts w:ascii="Times New Roman" w:hAnsi="Times New Roman" w:cs="Times New Roman" w:eastAsia="Times New Roman"/>
        </w:rPr>
        <w:t xml:space="preserve">Hướng dẫn dẫn chiếu: </w:t>
      </w:r>
      <w:r>
        <w:rPr>
          <w:rFonts w:ascii="Times New Roman" w:hAnsi="Times New Roman"/>
          <w:i/>
          <w:sz w:val="22"/>
          <w:rFonts w:ascii="Times New Roman" w:hAnsi="Times New Roman" w:cs="Times New Roman" w:eastAsia="Times New Roman"/>
        </w:rPr>
        <w:t>Dẫn chiếu ở Mục 2.1 và 2.2 để tham chiếu kiến trúc hệ thống thực tế và ánh xạ địa chỉ các khối DB trên PLC SIMATIC S7-1200.</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