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DIRECTION DES SYSTÈMES D’INFORMATION</w:t>
      </w:r>
    </w:p>
    <w:p w:rsidR="00000000" w:rsidDel="00000000" w:rsidP="00000000" w:rsidRDefault="00000000" w:rsidRPr="00000000" w14:paraId="00000002">
      <w:pPr>
        <w:pStyle w:val="Subtitle"/>
        <w:rPr/>
      </w:pPr>
      <w:r w:rsidDel="00000000" w:rsidR="00000000" w:rsidRPr="00000000">
        <w:rPr>
          <w:rtl w:val="0"/>
        </w:rPr>
        <w:t xml:space="preserve">Organisation cible, missions, projets et informations pour le site institutionnel</w:t>
      </w:r>
    </w:p>
    <w:p w:rsidR="00000000" w:rsidDel="00000000" w:rsidP="00000000" w:rsidRDefault="00000000" w:rsidRPr="00000000" w14:paraId="00000003">
      <w:pPr>
        <w:rPr/>
      </w:pPr>
      <w:r w:rsidDel="00000000" w:rsidR="00000000" w:rsidRPr="00000000">
        <w:rPr>
          <w:rtl w:val="0"/>
        </w:rPr>
        <w:t xml:space="preserve"> • Organisation proposée, sous réserve de validation officielle</w:t>
      </w:r>
    </w:p>
    <w:p w:rsidR="00000000" w:rsidDel="00000000" w:rsidP="00000000" w:rsidRDefault="00000000" w:rsidRPr="00000000" w14:paraId="00000004">
      <w:pPr>
        <w:pStyle w:val="Heading1"/>
        <w:rPr/>
      </w:pPr>
      <w:r w:rsidDel="00000000" w:rsidR="00000000" w:rsidRPr="00000000">
        <w:rPr>
          <w:rtl w:val="0"/>
        </w:rPr>
        <w:t xml:space="preserve">1. Objet et portée</w:t>
      </w:r>
    </w:p>
    <w:p w:rsidR="00000000" w:rsidDel="00000000" w:rsidP="00000000" w:rsidRDefault="00000000" w:rsidRPr="00000000" w14:paraId="00000005">
      <w:pPr>
        <w:rPr/>
      </w:pPr>
      <w:r w:rsidDel="00000000" w:rsidR="00000000" w:rsidRPr="00000000">
        <w:rPr>
          <w:rtl w:val="0"/>
        </w:rPr>
        <w:t xml:space="preserve">Le présent document consolide la proposition d’organisation de la DSI figurant aux articles 111 et 112 du projet de texte, et précise les informations à réunir pour la présentation institutionnelle de la Direction sur son site web. Les intitulés de bureaux ci-dessous sont indicatifs et ne doivent pas être présentés comme officiellement adoptés.</w:t>
      </w:r>
    </w:p>
    <w:p w:rsidR="00000000" w:rsidDel="00000000" w:rsidP="00000000" w:rsidRDefault="00000000" w:rsidRPr="00000000" w14:paraId="00000006">
      <w:pPr>
        <w:pStyle w:val="Heading1"/>
        <w:rPr/>
      </w:pPr>
      <w:r w:rsidDel="00000000" w:rsidR="00000000" w:rsidRPr="00000000">
        <w:rPr>
          <w:rtl w:val="0"/>
        </w:rPr>
        <w:t xml:space="preserve">2. Missions de la DSI — Article 111</w:t>
      </w:r>
    </w:p>
    <w:p w:rsidR="00000000" w:rsidDel="00000000" w:rsidP="00000000" w:rsidRDefault="00000000" w:rsidRPr="00000000" w14:paraId="00000007">
      <w:pPr>
        <w:rPr/>
      </w:pPr>
      <w:r w:rsidDel="00000000" w:rsidR="00000000" w:rsidRPr="00000000">
        <w:rPr>
          <w:rtl w:val="0"/>
        </w:rPr>
        <w:t xml:space="preserve">La DSI a pour mission de concevoir, piloter et sécuriser l’architecture numérique du Ministère afin de renforcer la productivité administrative, la qualité du service public et l’efficience de la transformation numérique.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Automatiser les tâches et digitaliser les procédures administratives.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Développer un système d’information intégré, fiable, interopérable et sécurisé.</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Contribuer aux stratégies d’innovation numérique et assurer la veille technologique.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Accompagner le changement, la formation et l’appropriation des outils numériques.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Piloter la base consolidée des agents de l’État et la gouvernance numérique du SIRH.</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Garantir la qualité, la sécurité, la disponibilité et la résilience des données et systèmes.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Administrer et maintenir les systèmes, réseaux, télécommunications et équipements.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Contribuer à l’amélioration continue de la qualité des services publics.</w:t>
      </w:r>
    </w:p>
    <w:p w:rsidR="00000000" w:rsidDel="00000000" w:rsidP="00000000" w:rsidRDefault="00000000" w:rsidRPr="00000000" w14:paraId="00000010">
      <w:pPr>
        <w:pStyle w:val="Heading1"/>
        <w:rPr/>
      </w:pPr>
      <w:r w:rsidDel="00000000" w:rsidR="00000000" w:rsidRPr="00000000">
        <w:rPr>
          <w:rtl w:val="0"/>
        </w:rPr>
        <w:t xml:space="preserve">3. Organisation cible — Article 112</w:t>
      </w:r>
    </w:p>
    <w:tbl>
      <w:tblPr>
        <w:tblStyle w:val="Table1"/>
        <w:tblW w:w="8640.0" w:type="dxa"/>
        <w:jc w:val="left"/>
        <w:tblInd w:w="-108.0" w:type="dxa"/>
        <w:tblBorders>
          <w:top w:color="4f81bd" w:space="0" w:sz="8" w:val="single"/>
          <w:bottom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1">
            <w:pPr>
              <w:rPr/>
            </w:pPr>
            <w:r w:rsidDel="00000000" w:rsidR="00000000" w:rsidRPr="00000000">
              <w:rPr>
                <w:rtl w:val="0"/>
              </w:rPr>
              <w:t xml:space="preserve">Entité</w:t>
            </w:r>
          </w:p>
        </w:tc>
        <w:tc>
          <w:tcPr/>
          <w:p w:rsidR="00000000" w:rsidDel="00000000" w:rsidP="00000000" w:rsidRDefault="00000000" w:rsidRPr="00000000" w14:paraId="00000012">
            <w:pPr>
              <w:rPr/>
            </w:pPr>
            <w:r w:rsidDel="00000000" w:rsidR="00000000" w:rsidRPr="00000000">
              <w:rPr>
                <w:rtl w:val="0"/>
              </w:rPr>
              <w:t xml:space="preserve">Périmètre fonctionnel indicatif</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Division de l’Architecture, des Études et de l’Intégration</w:t>
            </w:r>
          </w:p>
        </w:tc>
        <w:tc>
          <w:tcPr/>
          <w:p w:rsidR="00000000" w:rsidDel="00000000" w:rsidP="00000000" w:rsidRDefault="00000000" w:rsidRPr="00000000" w14:paraId="00000014">
            <w:pPr>
              <w:rPr/>
            </w:pPr>
            <w:r w:rsidDel="00000000" w:rsidR="00000000" w:rsidRPr="00000000">
              <w:rPr>
                <w:rtl w:val="0"/>
              </w:rPr>
              <w:t xml:space="preserve">Architecture SI, études, développement, intégration et interopérabilité.</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Division de l’Innovation et Projets</w:t>
            </w:r>
          </w:p>
        </w:tc>
        <w:tc>
          <w:tcPr/>
          <w:p w:rsidR="00000000" w:rsidDel="00000000" w:rsidP="00000000" w:rsidRDefault="00000000" w:rsidRPr="00000000" w14:paraId="00000016">
            <w:pPr>
              <w:rPr/>
            </w:pPr>
            <w:r w:rsidDel="00000000" w:rsidR="00000000" w:rsidRPr="00000000">
              <w:rPr>
                <w:rtl w:val="0"/>
              </w:rPr>
              <w:t xml:space="preserve">Innovation, transformation numérique, portefeuille de projets et conduite du changement.</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Division des Infrastructures, Réseaux et Sécurité</w:t>
            </w:r>
          </w:p>
        </w:tc>
        <w:tc>
          <w:tcPr/>
          <w:p w:rsidR="00000000" w:rsidDel="00000000" w:rsidP="00000000" w:rsidRDefault="00000000" w:rsidRPr="00000000" w14:paraId="00000018">
            <w:pPr>
              <w:rPr/>
            </w:pPr>
            <w:r w:rsidDel="00000000" w:rsidR="00000000" w:rsidRPr="00000000">
              <w:rPr>
                <w:rtl w:val="0"/>
              </w:rPr>
              <w:t xml:space="preserve">Hébergement, réseaux, télécommunications, cybersécurité et continuité.</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Division Support et Assistance aux Utilisateurs</w:t>
            </w:r>
          </w:p>
        </w:tc>
        <w:tc>
          <w:tcPr/>
          <w:p w:rsidR="00000000" w:rsidDel="00000000" w:rsidP="00000000" w:rsidRDefault="00000000" w:rsidRPr="00000000" w14:paraId="0000001A">
            <w:pPr>
              <w:rPr/>
            </w:pPr>
            <w:r w:rsidDel="00000000" w:rsidR="00000000" w:rsidRPr="00000000">
              <w:rPr>
                <w:rtl w:val="0"/>
              </w:rPr>
              <w:t xml:space="preserve">Support, incidents, maintenance, formation et satisfaction des utilisateurs.</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Division de l’Informatique décisionnelle</w:t>
            </w:r>
          </w:p>
        </w:tc>
        <w:tc>
          <w:tcPr/>
          <w:p w:rsidR="00000000" w:rsidDel="00000000" w:rsidP="00000000" w:rsidRDefault="00000000" w:rsidRPr="00000000" w14:paraId="0000001C">
            <w:pPr>
              <w:rPr/>
            </w:pPr>
            <w:r w:rsidDel="00000000" w:rsidR="00000000" w:rsidRPr="00000000">
              <w:rPr>
                <w:rtl w:val="0"/>
              </w:rPr>
              <w:t xml:space="preserve">Gouvernance et qualité des données, analyses, indicateurs et tableaux de bord.</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Bureau administratif et financier</w:t>
            </w:r>
          </w:p>
        </w:tc>
        <w:tc>
          <w:tcPr/>
          <w:p w:rsidR="00000000" w:rsidDel="00000000" w:rsidP="00000000" w:rsidRDefault="00000000" w:rsidRPr="00000000" w14:paraId="0000001E">
            <w:pPr>
              <w:rPr/>
            </w:pPr>
            <w:r w:rsidDel="00000000" w:rsidR="00000000" w:rsidRPr="00000000">
              <w:rPr>
                <w:rtl w:val="0"/>
              </w:rPr>
              <w:t xml:space="preserve">Gestion administrative, budget, logistique et moyens.</w:t>
            </w:r>
          </w:p>
        </w:tc>
      </w:tr>
    </w:tbl>
    <w:p w:rsidR="00000000" w:rsidDel="00000000" w:rsidP="00000000" w:rsidRDefault="00000000" w:rsidRPr="00000000" w14:paraId="0000001F">
      <w:pPr>
        <w:pStyle w:val="Heading1"/>
        <w:rPr/>
      </w:pPr>
      <w:r w:rsidDel="00000000" w:rsidR="00000000" w:rsidRPr="00000000">
        <w:rPr>
          <w:rtl w:val="0"/>
        </w:rPr>
        <w:t xml:space="preserve">4. Bureaux proposés (à valider)</w:t>
      </w:r>
    </w:p>
    <w:p w:rsidR="00000000" w:rsidDel="00000000" w:rsidP="00000000" w:rsidRDefault="00000000" w:rsidRPr="00000000" w14:paraId="00000020">
      <w:pPr>
        <w:pStyle w:val="Heading2"/>
        <w:rPr/>
      </w:pPr>
      <w:r w:rsidDel="00000000" w:rsidR="00000000" w:rsidRPr="00000000">
        <w:rPr>
          <w:rtl w:val="0"/>
        </w:rPr>
        <w:t xml:space="preserve">Architecture, Études et Intégration</w:t>
      </w:r>
    </w:p>
    <w:p w:rsidR="00000000" w:rsidDel="00000000" w:rsidP="00000000" w:rsidRDefault="00000000" w:rsidRPr="00000000" w14:paraId="00000021">
      <w:pPr>
        <w:rPr/>
      </w:pPr>
      <w:r w:rsidDel="00000000" w:rsidR="00000000" w:rsidRPr="00000000">
        <w:rPr>
          <w:rtl w:val="0"/>
        </w:rPr>
        <w:t xml:space="preserve">Architecture et Études ; Développement et Intégration ; Interopérabilité</w:t>
      </w:r>
    </w:p>
    <w:p w:rsidR="00000000" w:rsidDel="00000000" w:rsidP="00000000" w:rsidRDefault="00000000" w:rsidRPr="00000000" w14:paraId="00000022">
      <w:pPr>
        <w:pStyle w:val="Heading2"/>
        <w:rPr/>
      </w:pPr>
      <w:r w:rsidDel="00000000" w:rsidR="00000000" w:rsidRPr="00000000">
        <w:rPr>
          <w:rtl w:val="0"/>
        </w:rPr>
        <w:t xml:space="preserve">Innovation et Projets</w:t>
      </w:r>
    </w:p>
    <w:p w:rsidR="00000000" w:rsidDel="00000000" w:rsidP="00000000" w:rsidRDefault="00000000" w:rsidRPr="00000000" w14:paraId="00000023">
      <w:pPr>
        <w:rPr/>
      </w:pPr>
      <w:r w:rsidDel="00000000" w:rsidR="00000000" w:rsidRPr="00000000">
        <w:rPr>
          <w:rtl w:val="0"/>
        </w:rPr>
        <w:t xml:space="preserve">Innovation et Transformation numérique ; Gestion et Suivi des projets ; Conduite du changement</w:t>
      </w:r>
    </w:p>
    <w:p w:rsidR="00000000" w:rsidDel="00000000" w:rsidP="00000000" w:rsidRDefault="00000000" w:rsidRPr="00000000" w14:paraId="00000024">
      <w:pPr>
        <w:pStyle w:val="Heading2"/>
        <w:rPr/>
      </w:pPr>
      <w:r w:rsidDel="00000000" w:rsidR="00000000" w:rsidRPr="00000000">
        <w:rPr>
          <w:rtl w:val="0"/>
        </w:rPr>
        <w:t xml:space="preserve">Infrastructures, Réseaux et Sécurité</w:t>
      </w:r>
    </w:p>
    <w:p w:rsidR="00000000" w:rsidDel="00000000" w:rsidP="00000000" w:rsidRDefault="00000000" w:rsidRPr="00000000" w14:paraId="00000025">
      <w:pPr>
        <w:rPr/>
      </w:pPr>
      <w:r w:rsidDel="00000000" w:rsidR="00000000" w:rsidRPr="00000000">
        <w:rPr>
          <w:rtl w:val="0"/>
        </w:rPr>
        <w:t xml:space="preserve">Systèmes et Hébergement ; Réseaux et Télécommunications ; Cybersécurité</w:t>
      </w:r>
    </w:p>
    <w:p w:rsidR="00000000" w:rsidDel="00000000" w:rsidP="00000000" w:rsidRDefault="00000000" w:rsidRPr="00000000" w14:paraId="00000026">
      <w:pPr>
        <w:pStyle w:val="Heading2"/>
        <w:rPr/>
      </w:pPr>
      <w:r w:rsidDel="00000000" w:rsidR="00000000" w:rsidRPr="00000000">
        <w:rPr>
          <w:rtl w:val="0"/>
        </w:rPr>
        <w:t xml:space="preserve">Support et Assistance aux Utilisateurs</w:t>
      </w:r>
    </w:p>
    <w:p w:rsidR="00000000" w:rsidDel="00000000" w:rsidP="00000000" w:rsidRDefault="00000000" w:rsidRPr="00000000" w14:paraId="00000027">
      <w:pPr>
        <w:rPr/>
      </w:pPr>
      <w:r w:rsidDel="00000000" w:rsidR="00000000" w:rsidRPr="00000000">
        <w:rPr>
          <w:rtl w:val="0"/>
        </w:rPr>
        <w:t xml:space="preserve">Assistance et Support ; Maintenance informatique ; Formation et Accompagnement</w:t>
      </w:r>
    </w:p>
    <w:p w:rsidR="00000000" w:rsidDel="00000000" w:rsidP="00000000" w:rsidRDefault="00000000" w:rsidRPr="00000000" w14:paraId="00000028">
      <w:pPr>
        <w:pStyle w:val="Heading2"/>
        <w:rPr/>
      </w:pPr>
      <w:r w:rsidDel="00000000" w:rsidR="00000000" w:rsidRPr="00000000">
        <w:rPr>
          <w:rtl w:val="0"/>
        </w:rPr>
        <w:t xml:space="preserve">Informatique décisionnelle</w:t>
      </w:r>
    </w:p>
    <w:p w:rsidR="00000000" w:rsidDel="00000000" w:rsidP="00000000" w:rsidRDefault="00000000" w:rsidRPr="00000000" w14:paraId="00000029">
      <w:pPr>
        <w:rPr/>
      </w:pPr>
      <w:r w:rsidDel="00000000" w:rsidR="00000000" w:rsidRPr="00000000">
        <w:rPr>
          <w:rtl w:val="0"/>
        </w:rPr>
        <w:t xml:space="preserve">Gouvernance et Qualité des données ; Analyse décisionnelle ; Statistiques et Tableaux de bord</w:t>
      </w:r>
    </w:p>
    <w:p w:rsidR="00000000" w:rsidDel="00000000" w:rsidP="00000000" w:rsidRDefault="00000000" w:rsidRPr="00000000" w14:paraId="0000002A">
      <w:pPr>
        <w:rPr/>
      </w:pPr>
      <w:r w:rsidDel="00000000" w:rsidR="00000000" w:rsidRPr="00000000">
        <w:rPr>
          <w:rtl w:val="0"/>
        </w:rPr>
        <w:t xml:space="preserve">Point de vigilance : clarifier la responsabilité de la gouvernance du SIRH et de la base consolidée des agents entre les divisions Architecture, Études et Intégration et Informatique décisionnelle, ainsi que les interfaces avec le support et le pilotage de projets.</w:t>
      </w:r>
    </w:p>
    <w:p w:rsidR="00000000" w:rsidDel="00000000" w:rsidP="00000000" w:rsidRDefault="00000000" w:rsidRPr="00000000" w14:paraId="0000002B">
      <w:pPr>
        <w:pStyle w:val="Heading1"/>
        <w:rPr/>
      </w:pPr>
      <w:r w:rsidDel="00000000" w:rsidR="00000000" w:rsidRPr="00000000">
        <w:rPr>
          <w:rtl w:val="0"/>
        </w:rPr>
        <w:t xml:space="preserve">5. Informations à collecter pour le site</w:t>
      </w:r>
    </w:p>
    <w:p w:rsidR="00000000" w:rsidDel="00000000" w:rsidP="00000000" w:rsidRDefault="00000000" w:rsidRPr="00000000" w14:paraId="0000002C">
      <w:pPr>
        <w:pStyle w:val="Heading2"/>
        <w:rPr/>
      </w:pPr>
      <w:r w:rsidDel="00000000" w:rsidR="00000000" w:rsidRPr="00000000">
        <w:rPr>
          <w:rtl w:val="0"/>
        </w:rPr>
        <w:t xml:space="preserve">Organisation et responsables</w:t>
      </w:r>
    </w:p>
    <w:p w:rsidR="00000000" w:rsidDel="00000000" w:rsidP="00000000" w:rsidRDefault="00000000" w:rsidRPr="00000000" w14:paraId="0000002D">
      <w:pPr>
        <w:rPr/>
      </w:pPr>
      <w:r w:rsidDel="00000000" w:rsidR="00000000" w:rsidRPr="00000000">
        <w:rPr>
          <w:rtl w:val="0"/>
        </w:rPr>
        <w:t xml:space="preserve">Intitulé validé de chaque bureau ; nom et titre exact du responsable ; photographie officielle avec consentement préalable ; validation hiérarchique.</w:t>
      </w:r>
    </w:p>
    <w:p w:rsidR="00000000" w:rsidDel="00000000" w:rsidP="00000000" w:rsidRDefault="00000000" w:rsidRPr="00000000" w14:paraId="0000002E">
      <w:pPr>
        <w:pStyle w:val="Heading2"/>
        <w:rPr/>
      </w:pPr>
      <w:r w:rsidDel="00000000" w:rsidR="00000000" w:rsidRPr="00000000">
        <w:rPr>
          <w:rtl w:val="0"/>
        </w:rPr>
        <w:t xml:space="preserve">Contacts fonctionnels</w:t>
      </w:r>
    </w:p>
    <w:p w:rsidR="00000000" w:rsidDel="00000000" w:rsidP="00000000" w:rsidRDefault="00000000" w:rsidRPr="00000000" w14:paraId="0000002F">
      <w:pPr>
        <w:rPr/>
      </w:pPr>
      <w:r w:rsidDel="00000000" w:rsidR="00000000" w:rsidRPr="00000000">
        <w:rPr>
          <w:rtl w:val="0"/>
        </w:rPr>
        <w:t xml:space="preserve">Adresse générique par unité et/ou numéro du standard. Ne pas publier les courriels ni lignes directes nominatives.</w:t>
      </w:r>
    </w:p>
    <w:p w:rsidR="00000000" w:rsidDel="00000000" w:rsidP="00000000" w:rsidRDefault="00000000" w:rsidRPr="00000000" w14:paraId="00000030">
      <w:pPr>
        <w:pStyle w:val="Heading2"/>
        <w:rPr/>
      </w:pPr>
      <w:r w:rsidDel="00000000" w:rsidR="00000000" w:rsidRPr="00000000">
        <w:rPr>
          <w:rtl w:val="0"/>
        </w:rPr>
        <w:t xml:space="preserve">Support et assistance</w:t>
      </w:r>
    </w:p>
    <w:p w:rsidR="00000000" w:rsidDel="00000000" w:rsidP="00000000" w:rsidRDefault="00000000" w:rsidRPr="00000000" w14:paraId="00000031">
      <w:pPr>
        <w:rPr/>
      </w:pPr>
      <w:r w:rsidDel="00000000" w:rsidR="00000000" w:rsidRPr="00000000">
        <w:rPr>
          <w:rtl w:val="0"/>
        </w:rPr>
        <w:t xml:space="preserve">Canaux d’accès, horaires, modalités de traitement des tickets, délais de prise en charge éventuellement publiables, procédure d’urgence.</w:t>
      </w:r>
    </w:p>
    <w:p w:rsidR="00000000" w:rsidDel="00000000" w:rsidP="00000000" w:rsidRDefault="00000000" w:rsidRPr="00000000" w14:paraId="00000032">
      <w:pPr>
        <w:pStyle w:val="Heading2"/>
        <w:rPr/>
      </w:pPr>
      <w:r w:rsidDel="00000000" w:rsidR="00000000" w:rsidRPr="00000000">
        <w:rPr>
          <w:rtl w:val="0"/>
        </w:rPr>
        <w:t xml:space="preserve">Identité visuelle</w:t>
      </w:r>
    </w:p>
    <w:p w:rsidR="00000000" w:rsidDel="00000000" w:rsidP="00000000" w:rsidRDefault="00000000" w:rsidRPr="00000000" w14:paraId="00000033">
      <w:pPr>
        <w:rPr/>
      </w:pPr>
      <w:r w:rsidDel="00000000" w:rsidR="00000000" w:rsidRPr="00000000">
        <w:rPr>
          <w:rtl w:val="0"/>
        </w:rPr>
        <w:t xml:space="preserve">Logo officiel du Ministère et de la DSI, couleurs, typographies, règles d’usage et visuels autorisés.</w:t>
      </w:r>
    </w:p>
    <w:p w:rsidR="00000000" w:rsidDel="00000000" w:rsidP="00000000" w:rsidRDefault="00000000" w:rsidRPr="00000000" w14:paraId="00000034">
      <w:pPr>
        <w:pStyle w:val="Heading1"/>
        <w:rPr/>
      </w:pPr>
      <w:r w:rsidDel="00000000" w:rsidR="00000000" w:rsidRPr="00000000">
        <w:rPr>
          <w:rtl w:val="0"/>
        </w:rPr>
        <w:t xml:space="preserve">6. Fiches projets à préparer</w:t>
      </w:r>
    </w:p>
    <w:p w:rsidR="00000000" w:rsidDel="00000000" w:rsidP="00000000" w:rsidRDefault="00000000" w:rsidRPr="00000000" w14:paraId="00000035">
      <w:pPr>
        <w:rPr/>
      </w:pPr>
      <w:r w:rsidDel="00000000" w:rsidR="00000000" w:rsidRPr="00000000">
        <w:rPr>
          <w:rtl w:val="0"/>
        </w:rPr>
        <w:t xml:space="preserve">Pour chaque projet : problème traité, solution apportée, public concerné, statut vérifié, impacts mesurés et publiables, capture ou visuel autorisé, validation hiérarchique.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GIRAFE — Gestion intégrée des ressources humaines de l’État.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E-carrière — Services numériques et suivi de carrière pour les agents.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CAP — Dématérialisation des procédures des commissions administratives paritaires.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CRCE — Digitalisation des processus de recrutement des contractuels de l’enseignement.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Pointel FP — Gestion numérique du pointage et des présences.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Interopérabilité — Échanges sécurisés de données entre systèmes et administrations.</w:t>
      </w:r>
    </w:p>
    <w:p w:rsidR="00000000" w:rsidDel="00000000" w:rsidP="00000000" w:rsidRDefault="00000000" w:rsidRPr="00000000" w14:paraId="0000003C">
      <w:pPr>
        <w:rPr/>
      </w:pPr>
      <w:r w:rsidDel="00000000" w:rsidR="00000000" w:rsidRPr="00000000">
        <w:rPr>
          <w:rtl w:val="0"/>
        </w:rPr>
        <w:t xml:space="preserve">Les statuts de déploiement et chiffres clés ne seront renseignés qu’après vérification par les équipes projet et autorisation de publication.</w:t>
      </w:r>
    </w:p>
    <w:p w:rsidR="00000000" w:rsidDel="00000000" w:rsidP="00000000" w:rsidRDefault="00000000" w:rsidRPr="00000000" w14:paraId="0000003D">
      <w:pPr>
        <w:pStyle w:val="Heading1"/>
        <w:rPr/>
      </w:pPr>
      <w:r w:rsidDel="00000000" w:rsidR="00000000" w:rsidRPr="00000000">
        <w:rPr>
          <w:rtl w:val="0"/>
        </w:rPr>
        <w:t xml:space="preserve">7. Principes éditoriaux et sécurité</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Distinguer explicitement l’organisation actuelle de l’organisation cible tant que le texte n’est pas officialisé.</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Obtenir l’accord des personnes avant toute publication de photographie.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Privilégier les contacts fonctionnels et limiter les données personnelles exposées.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Soumettre les indicateurs, captures et informations sensibles à validation hiérarchique.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Présenter la DSI autour de cinq piliers : concevoir, innover, sécuriser, accompagner et valoriser.</w:t>
      </w:r>
    </w:p>
    <w:p w:rsidR="00000000" w:rsidDel="00000000" w:rsidP="00000000" w:rsidRDefault="00000000" w:rsidRPr="00000000" w14:paraId="00000043">
      <w:pPr>
        <w:pStyle w:val="Heading1"/>
        <w:rPr/>
      </w:pPr>
      <w:r w:rsidDel="00000000" w:rsidR="00000000" w:rsidRPr="00000000">
        <w:rPr>
          <w:rtl w:val="0"/>
        </w:rPr>
        <w:t xml:space="preserve">8. Prochaines étapes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Faire valider les intitulés des divisions et bureaux ainsi que leurs attributions.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Recueillir les noms, titres, photos autorisées et contacts fonctionnels.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Consolider les fiches des six projets prioritaires et leurs indicateurs vérifiés.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Valider les modalités de support et la charte graphique.</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Publier une première version du site après revue institutionnelle et sécurité.</w:t>
      </w:r>
    </w:p>
    <w:sectPr>
      <w:footerReference r:id="rId7" w:type="default"/>
      <w:pgSz w:h="15840" w:w="12240" w:orient="portrait"/>
      <w:pgMar w:bottom="1440" w:top="1440" w:left="1800" w:right="1800" w:header="648" w:footer="64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DSI • Document de travail — diffusion interne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0c4a5b"/>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0c4a5b"/>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0c4a5b"/>
      <w:sz w:val="40"/>
      <w:szCs w:val="4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5cds5QwltCjOiB+Jp3BJ8g32OA==">CgMxLjA4AHIhMVA1eHJsVElkUjJtQnduRWpBMS1ma19XZVNXX2k4ZjZw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