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Variation in Many-Analyst Projects: Harmful or Helpful? A Multiverse Approach to Address Different Sources of Variation</w:t>
      </w:r>
    </w:p>
    <w:bookmarkStart w:id="25" w:name="introduction"/>
    <w:p>
      <w:pPr>
        <w:pStyle w:val="Heading1"/>
      </w:pPr>
      <w:r>
        <w:t xml:space="preserve">Introduction</w:t>
      </w:r>
    </w:p>
    <w:p>
      <w:pPr>
        <w:pStyle w:val="FirstParagraph"/>
      </w:pPr>
      <w:r>
        <w:t xml:space="preserve">Over recent years, it has become increasingly clear that the scientific community is facing a replication crisis</w:t>
      </w:r>
      <w:r>
        <w:t xml:space="preserve"> </w:t>
      </w:r>
      <w:r>
        <w:t xml:space="preserve">(Forbes et al., 2023)</w:t>
      </w:r>
      <w:r>
        <w:t xml:space="preserve">. A growing number of studies have reported difficulties reproducing previously published findings. This problem is often attributed to publication bias—the tendency to only publish significant results—and questionable research practices (QRPs)</w:t>
      </w:r>
      <w:r>
        <w:t xml:space="preserve"> </w:t>
      </w:r>
      <w:r>
        <w:t xml:space="preserve">(Banks et al., 2016)</w:t>
      </w:r>
      <w:r>
        <w:t xml:space="preserve">. However, even studies aimed at removing the incentive for QRPs have painted a rather pessimistic picture of reproducible science</w:t>
      </w:r>
      <w:r>
        <w:t xml:space="preserve"> </w:t>
      </w:r>
      <w:r>
        <w:t xml:space="preserve">(Auspurg &amp; Brüderl, 2024)</w:t>
      </w:r>
      <w:r>
        <w:t xml:space="preserve">. Many-analyst studies, where multiple independent researchers answer the same research question using the same data set, have shown considerable variation in analytic strategies and results</w:t>
      </w:r>
      <w:r>
        <w:t xml:space="preserve"> </w:t>
      </w:r>
      <w:r>
        <w:t xml:space="preserve">(Bastiaansen et al., 2020; Botvinik-Nezer et al., 2020; Breznau et al., 2022; Gould et al., 2025; Hoogeveen, Sarafoglou, Aczel, et al., 2023; Kowall et al., 2025; Silberzahn et al., 2018)</w:t>
      </w:r>
      <w:r>
        <w:t xml:space="preserve">. Reported effect sizes often vary from negative to positive, and from significant to non-significant, all within the same study. This means that there is not only considerable variation in the results but also in the substantive conclusions drawn from them. At first glance, this seems an immediate threat to the reproducibility of science. In an ideal world, one might expect that a single data set should yield a single, definitive answer. If not, this seems problematic for the robustness of science. However, before jumping to conclusions about the reliability of scientific results, it is worth to carefully examine what actually drives this observed effect size variability.</w:t>
      </w:r>
    </w:p>
    <w:p>
      <w:pPr>
        <w:pStyle w:val="BodyText"/>
      </w:pPr>
      <w:r>
        <w:t xml:space="preserve">Interpreting such variation without understanding its origins may not be that straightforward. Observational research is often described as a</w:t>
      </w:r>
      <w:r>
        <w:t xml:space="preserve"> </w:t>
      </w:r>
      <w:r>
        <w:t xml:space="preserve">“garden of forking paths”</w:t>
      </w:r>
      <w:r>
        <w:t xml:space="preserve">, where the path from raw data to results requires numerous decisions, generating substantial model uncertainty</w:t>
      </w:r>
      <w:r>
        <w:t xml:space="preserve"> </w:t>
      </w:r>
      <w:r>
        <w:t xml:space="preserve">(Auspurg &amp; Brüderl, 2024)</w:t>
      </w:r>
      <w:r>
        <w:t xml:space="preserve">. Many-analyst projects are designed to minimalise this uncertainty by having multiple teams analyse the same data. However, a frequently raised criticism is that the posed research questions are often too vague, leaving analysts uncertain about how to proceed with data analysis, resulting in considerable researcher degrees of freedom across teams</w:t>
      </w:r>
      <w:r>
        <w:t xml:space="preserve"> </w:t>
      </w:r>
      <w:r>
        <w:t xml:space="preserve">(Hoogeveen, Sarafoglou, Van Elk, et al., 2023; Kummerfeld &amp; Jones, 2023)</w:t>
      </w:r>
      <w:r>
        <w:t xml:space="preserve">. This uncertainty is particularly problematic in situations where researchers are implicitly interested in finding causal relationships, which is often the case in many-analyst projects</w:t>
      </w:r>
      <w:r>
        <w:t xml:space="preserve"> </w:t>
      </w:r>
      <w:r>
        <w:t xml:space="preserve">(Bulbulia, 2023; Del Giudice &amp; Gangestad, 2021; Rohrer et al., 2025)</w:t>
      </w:r>
      <w:r>
        <w:t xml:space="preserve">. For example,</w:t>
      </w:r>
      <w:r>
        <w:t xml:space="preserve"> </w:t>
      </w:r>
      <w:r>
        <w:t xml:space="preserve">Kowall et al. (2025)</w:t>
      </w:r>
      <w:r>
        <w:t xml:space="preserve"> </w:t>
      </w:r>
      <w:r>
        <w:t xml:space="preserve">asked analysts to investigate the effect of marriage on cardiovascular events. This question can be interpreted in different ways: are we interested in a descriptive association between marital status and the likelihood of a cardiac event at a single time point, or how this likelihood changes over time? Do we want to know the direct effect of marriage on cardiovascular outcomes, controlling for potential confounders, or the total effect, without distinguishing between direct and indirect pathways? How an analyst interprets a research question determines the assumed causal structure, which in turn drives modelling choices and the selection of variables</w:t>
      </w:r>
      <w:r>
        <w:t xml:space="preserve"> </w:t>
      </w:r>
      <w:r>
        <w:t xml:space="preserve">(Bulbulia, 2023; Del Giudice &amp; Gangestad, 2021; Rohrer et al., 2025)</w:t>
      </w:r>
      <w:r>
        <w:t xml:space="preserve">. Crucially, these are not always merely arbitrary differences—incorrectly controlling for colliders or mediators can shift the estimated association away from the true causal effect of interest</w:t>
      </w:r>
      <w:r>
        <w:t xml:space="preserve"> </w:t>
      </w:r>
      <w:r>
        <w:t xml:space="preserve">(Rohrer, 2018)</w:t>
      </w:r>
      <w:r>
        <w:t xml:space="preserve">.</w:t>
      </w:r>
    </w:p>
    <w:p>
      <w:pPr>
        <w:pStyle w:val="BodyText"/>
      </w:pPr>
      <w:r>
        <w:t xml:space="preserve">Therefore, when the interpretations of research questions and, consequently, analytical choices differ across analysts, what appears to be disagreement about results may in fact reflect disagreement about the question itself</w:t>
      </w:r>
      <w:r>
        <w:t xml:space="preserve"> </w:t>
      </w:r>
      <w:r>
        <w:t xml:space="preserve">(Simonsohn et al., 2015)</w:t>
      </w:r>
      <w:r>
        <w:t xml:space="preserve">. From this perspective, variation in effect sizes may not always reflect problematic analytical noise, but rather meaningful answers to slightly different questions. On the other hand, if effect size variation stems from arbitrary, equally justifiable decisions whose options do not reflect different underlying causal structures, this may be considered more problematic</w:t>
      </w:r>
      <w:r>
        <w:t xml:space="preserve"> </w:t>
      </w:r>
      <w:r>
        <w:t xml:space="preserve">(Del Giudice &amp; Gangestad, 2021)</w:t>
      </w:r>
      <w:r>
        <w:t xml:space="preserve">. This highlights the relevance of identifying what drives variability in effect size estimates.</w:t>
      </w:r>
    </w:p>
    <w:bookmarkStart w:id="20" w:name="the-ab-framework"/>
    <w:p>
      <w:pPr>
        <w:pStyle w:val="Heading2"/>
      </w:pPr>
      <w:r>
        <w:t xml:space="preserve">The AB-Framework</w:t>
      </w:r>
    </w:p>
    <w:p>
      <w:pPr>
        <w:pStyle w:val="FirstParagraph"/>
      </w:pPr>
      <w:r>
        <w:t xml:space="preserve">For better interpretation of effect size variation in many-analyst projects,</w:t>
      </w:r>
      <w:r>
        <w:t xml:space="preserve"> </w:t>
      </w:r>
      <w:r>
        <w:t xml:space="preserve">Auspurg &amp; Brüderl (2024)</w:t>
      </w:r>
      <w:r>
        <w:t xml:space="preserve"> </w:t>
      </w:r>
      <w:r>
        <w:t xml:space="preserve">have introduced a theoretical framework (hereafter referred to as the AB-framework) to distinguish between three different sources of variation, two of which are considered</w:t>
      </w:r>
      <w:r>
        <w:t xml:space="preserve"> </w:t>
      </w:r>
      <w:r>
        <w:t xml:space="preserve">‘harmful’</w:t>
      </w:r>
      <w:r>
        <w:t xml:space="preserve"> </w:t>
      </w:r>
      <w:r>
        <w:t xml:space="preserve">and one</w:t>
      </w:r>
      <w:r>
        <w:t xml:space="preserve"> </w:t>
      </w:r>
      <w:r>
        <w:t xml:space="preserve">‘helpful’</w:t>
      </w:r>
      <w:r>
        <w:t xml:space="preserve"> </w:t>
      </w:r>
      <w:r>
        <w:t xml:space="preserve">(see Table</w:t>
      </w:r>
      <w:r>
        <w:t xml:space="preserve"> </w:t>
      </w:r>
      <w:r>
        <w:t xml:space="preserve">).</w:t>
      </w:r>
    </w:p>
    <w:p>
      <w:pPr>
        <w:pStyle w:val="BodyText"/>
      </w:pPr>
      <w:r>
        <w:t xml:space="preserve">First, effect size variation may arise from (a) model uncertainty, such as missing-data handling or modelling assumptions, reflecting ambiguity about the correct approach to estimate the parameter of interest</w:t>
      </w:r>
      <w:r>
        <w:t xml:space="preserve"> </w:t>
      </w:r>
      <w:r>
        <w:t xml:space="preserve">(Auspurg &amp; Brüderl, 2024)</w:t>
      </w:r>
      <w:r>
        <w:t xml:space="preserve">. For example, when estimating a binary outcome, analysts could choose between a logistic regression model (which estimates odds ratios) and a log-binomial model (which estimates risk ratios). Both are defensible choices, but they can yield numerically different effect estimates on identical data, and even have distinct interpretations when disease prevalence is high</w:t>
      </w:r>
      <w:r>
        <w:t xml:space="preserve"> </w:t>
      </w:r>
      <w:r>
        <w:t xml:space="preserve">(VanderWeele, 2020)</w:t>
      </w:r>
      <w:r>
        <w:t xml:space="preserve">. Secondly, effect size variation may be the result of (b) sloppiness or accidental coding errors made by the analysts</w:t>
      </w:r>
      <w:r>
        <w:t xml:space="preserve"> </w:t>
      </w:r>
      <w:r>
        <w:t xml:space="preserve">(Auspurg &amp; Brüderl, 2024)</w:t>
      </w:r>
      <w:r>
        <w:t xml:space="preserve">. Both sources can be considered harmful, as they can introduce undesirable uncertainty into scientific analyses, making conclusions less credible.</w:t>
      </w:r>
    </w:p>
    <w:p>
      <w:pPr>
        <w:pStyle w:val="BodyText"/>
      </w:pPr>
      <w:r>
        <w:t xml:space="preserve">In contrast, the third source concerns (c) analytical choices that provide information about substantive variation that actually exists in the population</w:t>
      </w:r>
      <w:r>
        <w:t xml:space="preserve"> </w:t>
      </w:r>
      <w:r>
        <w:t xml:space="preserve">(Auspurg &amp; Brüderl, 2024)</w:t>
      </w:r>
      <w:r>
        <w:t xml:space="preserve">. As mentioned earlier, selecting different target populations or confounders can lead to slightly different questions being answered</w:t>
      </w:r>
      <w:r>
        <w:t xml:space="preserve"> </w:t>
      </w:r>
      <w:r>
        <w:t xml:space="preserve">(Simonsohn et al., 2015)</w:t>
      </w:r>
      <w:r>
        <w:t xml:space="preserve">. For example, if analyst X uses the full data set, while analyst Y analyses only men in that same data set, X might find no effect in the general population, while Y finds that there is a male-specific positive effect. Given that the two analysts answered different questions, this source can be considered as helpful for the advancement of the underlying theory. By taking a closer look at the decisions made by analysts and the implications thereof, the AB-framework provides tools to interpret effect size variation in many-analyst projects.</w:t>
      </w:r>
    </w:p>
    <w:bookmarkEnd w:id="20"/>
    <w:bookmarkStart w:id="21" w:name="X39b14f338425d8fc0d297724d8a2c97133aa16a"/>
    <w:p>
      <w:pPr>
        <w:pStyle w:val="Heading2"/>
      </w:pPr>
      <w:r>
        <w:t xml:space="preserve">Identifying Sources of Variation in Many-Analyst Projects</w:t>
      </w:r>
    </w:p>
    <w:p>
      <w:pPr>
        <w:pStyle w:val="FirstParagraph"/>
      </w:pPr>
      <w:r>
        <w:t xml:space="preserve">Although several many-analyst studies have aimed to identify the sources of effect size variation, so far no consensus has been reached</w:t>
      </w:r>
      <w:r>
        <w:t xml:space="preserve"> </w:t>
      </w:r>
      <w:r>
        <w:t xml:space="preserve">(Bastiaansen et al., 2020; Breznau et al., 2022; Gould et al., 2025; Hoogeveen, Sarafoglou, Aczel, et al., 2023; Kowall et al., 2025; Silberzahn et al., 2018)</w:t>
      </w:r>
      <w:r>
        <w:t xml:space="preserve">. For example,</w:t>
      </w:r>
      <w:r>
        <w:t xml:space="preserve"> </w:t>
      </w:r>
      <w:r>
        <w:t xml:space="preserve">Hoogeveen, Sarafoglou, Aczel, et al. (2023)</w:t>
      </w:r>
      <w:r>
        <w:t xml:space="preserve"> </w:t>
      </w:r>
      <w:r>
        <w:t xml:space="preserve">found that variable selection, rather than model choice, influenced the results the most. In contrast,</w:t>
      </w:r>
      <w:r>
        <w:t xml:space="preserve"> </w:t>
      </w:r>
      <w:r>
        <w:t xml:space="preserve">Gould et al. (2025)</w:t>
      </w:r>
      <w:r>
        <w:t xml:space="preserve"> </w:t>
      </w:r>
      <w:r>
        <w:t xml:space="preserve">showed that neither variation in variable selection nor model structure meaningfully predicted variability, but did not explicitly name other sources of variation that may explain effect size variability. A similar pattern was found by</w:t>
      </w:r>
      <w:r>
        <w:t xml:space="preserve"> </w:t>
      </w:r>
      <w:r>
        <w:t xml:space="preserve">Kowall et al. (2025)</w:t>
      </w:r>
      <w:r>
        <w:t xml:space="preserve">, where model or variable choice did not seem to heavily influence variation in the results, whereas where data structure (cross-sectional versus longitudinal) did. This means that different many-analyst studies have highlighted different sources of variation.</w:t>
      </w:r>
    </w:p>
    <w:p>
      <w:pPr>
        <w:pStyle w:val="BodyText"/>
      </w:pPr>
      <w:r>
        <w:t xml:space="preserve">Given the wide variety of topics, designs, and variables across many-analyst projects, it may be unrealistic to expect a single, fixed set of explanatory factors that applies to all studies. However, even identifying study-specific sources of variation might not be possible based on many-analyst studies alone. A key limitation of these projects is that the involved analysts make decisions in an uncontrolled way</w:t>
      </w:r>
      <w:r>
        <w:t xml:space="preserve"> </w:t>
      </w:r>
      <w:r>
        <w:t xml:space="preserve">(Kummerfeld &amp; Jones, 2023)</w:t>
      </w:r>
      <w:r>
        <w:t xml:space="preserve">. Additionally, the number of analysts is often small</w:t>
      </w:r>
      <w:r>
        <w:t xml:space="preserve"> </w:t>
      </w:r>
      <w:r>
        <w:t xml:space="preserve">(Kowall et al., 2025)</w:t>
      </w:r>
      <w:r>
        <w:t xml:space="preserve">. This leads to the problem of sparse data, where little data available for each individual decision, as unique combinations of choices are often chosen only once. This sparsity makes it difficult to properly disentangle individual sources of variation and provide systematic quantitative evidence of their relative influence</w:t>
      </w:r>
      <w:r>
        <w:t xml:space="preserve"> </w:t>
      </w:r>
      <w:r>
        <w:t xml:space="preserve">(Aczel et al., 2021)</w:t>
      </w:r>
      <w:r>
        <w:t xml:space="preserve">. Consequently, solely looking at analytical decisions in many-analyst projects may not provide enough information to interpret effect size variation with the AB-framework.</w:t>
      </w:r>
    </w:p>
    <w:bookmarkEnd w:id="21"/>
    <w:bookmarkStart w:id="22" w:name="multiverse-analysis"/>
    <w:p>
      <w:pPr>
        <w:pStyle w:val="Heading2"/>
      </w:pPr>
      <w:r>
        <w:t xml:space="preserve">Multiverse Analysis</w:t>
      </w:r>
    </w:p>
    <w:p>
      <w:pPr>
        <w:pStyle w:val="FirstParagraph"/>
      </w:pPr>
      <w:r>
        <w:t xml:space="preserve">One approach to address the problem of data sparseness is multiverse analysis, where all individual choices are recombined—where possible—into a multiverse of different research paths (universes)</w:t>
      </w:r>
      <w:r>
        <w:t xml:space="preserve"> </w:t>
      </w:r>
      <w:r>
        <w:t xml:space="preserve">(Aczel et al., 2021; Hoogeveen, Sarafoglou, Van Elk, et al., 2023; Steegen et al., 2016)</w:t>
      </w:r>
      <w:r>
        <w:t xml:space="preserve">. First, this method identifies all reasonable decisions (e.g., model type, data type), each with a specific number of options (e.g., logistic regression, log-binomial, cross-sectional, longitudinal), and systematically combines them into a decision space</w:t>
      </w:r>
      <w:r>
        <w:t xml:space="preserve"> </w:t>
      </w:r>
      <w:r>
        <w:t xml:space="preserve">(Liu et al., 2023)</w:t>
      </w:r>
      <w:r>
        <w:t xml:space="preserve">. Then, the set of valid analyses is selected, as not all combinations of decision options may be possible (for example if a model requires longitudinal data and the data structure is cross-sectional)</w:t>
      </w:r>
      <w:r>
        <w:t xml:space="preserve"> </w:t>
      </w:r>
      <w:r>
        <w:t xml:space="preserve">(Aczel et al., 2021)</w:t>
      </w:r>
      <w:r>
        <w:t xml:space="preserve">. Secondly, results are reported across all valid universes. This way, multiverse analysis allows for the exploration of the entire decision space, rather than just a small subset of decision options chosen by analysts</w:t>
      </w:r>
      <w:r>
        <w:t xml:space="preserve"> </w:t>
      </w:r>
      <w:r>
        <w:t xml:space="preserve">(Liu et al., 2023)</w:t>
      </w:r>
      <w:r>
        <w:t xml:space="preserve">. As a result, substantially more data are available for each decision, enabling quantification of their specific impact on the results—the decision sensitivity.</w:t>
      </w:r>
    </w:p>
    <w:p>
      <w:pPr>
        <w:pStyle w:val="BodyText"/>
      </w:pPr>
      <w:r>
        <w:t xml:space="preserve">Although multiverse analysis seems a promising way of systematically evaluating the sensitivity of analytical decisions, it has several limitations. First, the decision space is often defined by a single researcher</w:t>
      </w:r>
      <w:r>
        <w:t xml:space="preserve"> </w:t>
      </w:r>
      <w:r>
        <w:t xml:space="preserve">(Simonsohn et al., 2015)</w:t>
      </w:r>
      <w:r>
        <w:t xml:space="preserve">. Consequently, some reasonable analysis paths may be overlooked. However, by basing the multiverse analysis on an existing many-analyst project, this problem can be solved</w:t>
      </w:r>
      <w:r>
        <w:t xml:space="preserve"> </w:t>
      </w:r>
      <w:r>
        <w:t xml:space="preserve">(Aczel et al., 2021)</w:t>
      </w:r>
      <w:r>
        <w:t xml:space="preserve">. The decision space will then be determined by the</w:t>
      </w:r>
      <w:r>
        <w:t xml:space="preserve"> </w:t>
      </w:r>
      <w:r>
        <w:t xml:space="preserve">“wisdom of the crowd”</w:t>
      </w:r>
      <w:r>
        <w:t xml:space="preserve"> </w:t>
      </w:r>
      <w:r>
        <w:t xml:space="preserve">and represent realistic research choices</w:t>
      </w:r>
      <w:r>
        <w:t xml:space="preserve"> </w:t>
      </w:r>
      <w:r>
        <w:t xml:space="preserve">(Auspurg &amp; Brüderl, 2024)</w:t>
      </w:r>
      <w:r>
        <w:t xml:space="preserve">. Second, different universes with contradicting causal implications may be included within the same multiverse; this could lead to misleading results where effect size variation is misinterpreted.</w:t>
      </w:r>
      <w:r>
        <w:t xml:space="preserve"> </w:t>
      </w:r>
      <w:r>
        <w:t xml:space="preserve">Del Giudice &amp; Gangestad (2021)</w:t>
      </w:r>
      <w:r>
        <w:t xml:space="preserve"> </w:t>
      </w:r>
      <w:r>
        <w:t xml:space="preserve">argue that as a solution, a multiverse should only include truly arbitrary, but not theoretically meaningful decisions. However, as long as we are aware that including diverging research paths can imply answering different questions within the same multiverse, this is not a problem. By including both types of decisions and subsequently classifying them with the AB-framework, results that might otherwise be considered misleading could now be interpreted in a meaningful way.</w:t>
      </w:r>
    </w:p>
    <w:bookmarkEnd w:id="22"/>
    <w:bookmarkStart w:id="23" w:name="quantifying-decision-sensitivity"/>
    <w:p>
      <w:pPr>
        <w:pStyle w:val="Heading2"/>
      </w:pPr>
      <w:r>
        <w:t xml:space="preserve">Quantifying Decision Sensitivity</w:t>
      </w:r>
    </w:p>
    <w:p>
      <w:pPr>
        <w:pStyle w:val="FirstParagraph"/>
      </w:pPr>
      <w:r>
        <w:t xml:space="preserve">Multiverse analysis appears a good complement to many-analyst projects to quantify decision sensitivity. However, reporting the results of multiverse analyses in a meaningful way is not straightforward and remains an open area of research</w:t>
      </w:r>
      <w:r>
        <w:t xml:space="preserve"> </w:t>
      </w:r>
      <w:r>
        <w:t xml:space="preserve">(Aczel et al., 2021)</w:t>
      </w:r>
      <w:r>
        <w:t xml:space="preserve">. Existing approaches are largely descriptive and visual, including binary heatmaps, interval plots, funnel plots, and volcano plots, and—probably the most well-known—specification curve analysis (SCA). In SCA, each universe is plotted against its associated effect size, to provide an overview to assess whether the overall outcome distribution is robust to various analytical specifications</w:t>
      </w:r>
      <w:r>
        <w:t xml:space="preserve"> </w:t>
      </w:r>
      <w:r>
        <w:t xml:space="preserve">(Simonsohn et al., 2015)</w:t>
      </w:r>
      <w:r>
        <w:t xml:space="preserve">. However, because all these methods only provide descriptive information about the robustness of the results, rather than a formal quantification of decision sensitivity, they cannot identify which decisions are the most important drivers of effect size variability.</w:t>
      </w:r>
    </w:p>
    <w:p>
      <w:pPr>
        <w:pStyle w:val="BodyText"/>
      </w:pPr>
      <w:r>
        <w:t xml:space="preserve">To address this limitation,</w:t>
      </w:r>
      <w:r>
        <w:t xml:space="preserve"> </w:t>
      </w:r>
      <w:r>
        <w:t xml:space="preserve">Liu et al. (2023)</w:t>
      </w:r>
      <w:r>
        <w:t xml:space="preserve"> </w:t>
      </w:r>
      <w:r>
        <w:t xml:space="preserve">have proposed using k-sample Anderson-Darling tests (AD tests) to quantify decision sensitivity. For each analytical decision, an effect size distribution is constructed from all universes containing a particular option, meaning that within each distribution one option remains constant while all other analytical decisions vary freely. The AD test then evaluates whether the effect size distributions corresponding to the different options within the same decision originate from the same underlying empirical cumulative distribution function</w:t>
      </w:r>
      <w:r>
        <w:t xml:space="preserve"> </w:t>
      </w:r>
      <w:r>
        <w:t xml:space="preserve">(ECDF, Scholz &amp; Stephens, 1987)</w:t>
      </w:r>
      <w:r>
        <w:t xml:space="preserve">. If this null hypothesis is rejected, the decision can be classified as sensitive, indicating that the decision had a meaningful impact on the distribution of the results. This approach thus moves beyond descriptive multiverse reporting, toward formal statistical inference about the impact of individual analytical decisions.</w:t>
      </w:r>
    </w:p>
    <w:bookmarkEnd w:id="23"/>
    <w:bookmarkStart w:id="24" w:name="present-study"/>
    <w:p>
      <w:pPr>
        <w:pStyle w:val="Heading2"/>
      </w:pPr>
      <w:r>
        <w:t xml:space="preserve">Present Study</w:t>
      </w:r>
    </w:p>
    <w:p>
      <w:pPr>
        <w:pStyle w:val="FirstParagraph"/>
      </w:pPr>
      <w:r>
        <w:t xml:space="preserve">To assess the current state of the replication crisis from the perspective of many-analyst projects, it is highly relevant to identify the most prominent sources of effect size variability and to evaluate the implications thereof within the AB-framework. However, due to the largely descriptive nature of existing many-analyst studies, no consensus has yet been reached regarding which factors drive variability in the results, nor regarding the relative contribution of harmful versus helpful analytical decisions. This leads to the following research question:</w:t>
      </w:r>
    </w:p>
    <w:p>
      <w:pPr>
        <w:pStyle w:val="BodyText"/>
      </w:pPr>
      <w:r>
        <w:rPr>
          <w:i/>
          <w:iCs/>
        </w:rPr>
        <w:t xml:space="preserve">What is the relative contribution of harmful versus helpful analytical decisions in many-analyst projects to effect size variation when they are systematically evaluated in a multiverse?</w:t>
      </w:r>
    </w:p>
    <w:p>
      <w:pPr>
        <w:pStyle w:val="BodyText"/>
      </w:pPr>
      <w:r>
        <w:t xml:space="preserve">To address this question, the present study conducted multiverse analysis based on the many-analyst project by</w:t>
      </w:r>
      <w:r>
        <w:t xml:space="preserve"> </w:t>
      </w:r>
      <w:r>
        <w:t xml:space="preserve">Kowall et al. (2025)</w:t>
      </w:r>
      <w:r>
        <w:t xml:space="preserve">, where sixteen teams investigated the effect of marriage on cardiovascular events. This project was selected as a case study for several reasons. First, because there was a wide variety of analytical approaches across teams, covering both harmful and helpful decisions, providing a rich decision space to evaluate the impact of a large range of different decisions. Second, the availability of the original data and analysis scripts allowed for the systematic construction of a multiverse, recombining the choices made by the analysts while holding the original data set constant. By quantifying the sensitivity of results to each decision using k-sample Anderson-Darling tests, this study aimed to move beyond description and provide quantitative evidence of the relative influence of different sources of variation.</w:t>
      </w:r>
    </w:p>
    <w:bookmarkEnd w:id="24"/>
    <w:bookmarkEnd w:id="25"/>
    <w:bookmarkStart w:id="35" w:name="methods"/>
    <w:p>
      <w:pPr>
        <w:pStyle w:val="Heading1"/>
      </w:pPr>
      <w:r>
        <w:t xml:space="preserve">Methods</w:t>
      </w:r>
    </w:p>
    <w:p>
      <w:pPr>
        <w:pStyle w:val="FirstParagraph"/>
      </w:pPr>
      <w:r>
        <w:t xml:space="preserve">The relative influence of harmful versus helpful on the effect size estimates for the association between marriage and cardiovascular events was evaluated in several steps. First, the decision space was constructed, based on analytical decisions made by analysis teams in</w:t>
      </w:r>
      <w:r>
        <w:t xml:space="preserve"> </w:t>
      </w:r>
      <w:r>
        <w:t xml:space="preserve">Kowall et al. (2025)</w:t>
      </w:r>
      <w:r>
        <w:t xml:space="preserve">. These decisions were classified as harmful/helpful using the AB-framework. Second, the full decision space of all valid universes was sampled based on methods proposed by</w:t>
      </w:r>
      <w:r>
        <w:t xml:space="preserve"> </w:t>
      </w:r>
      <w:r>
        <w:t xml:space="preserve">Liu et al. (2023)</w:t>
      </w:r>
      <w:r>
        <w:t xml:space="preserve">. Third, for comparability all effect sizes were converted to a common effect size (risk ratios). Then, density plots and a specification curve were used to describe the robustness of the results. Lastly, AD tests were used to quantify decision sensitivity</w:t>
      </w:r>
      <w:r>
        <w:t xml:space="preserve"> </w:t>
      </w:r>
      <w:r>
        <w:t xml:space="preserve">(Scholz &amp; Stephens, 1987)</w:t>
      </w:r>
      <w:r>
        <w:t xml:space="preserve">. For a more detailed assessment of the sensitivity of decisions many options, Kolmogorov-Smirnov tests (KS tests) were used.</w:t>
      </w:r>
    </w:p>
    <w:bookmarkStart w:id="26" w:name="ethics"/>
    <w:p>
      <w:pPr>
        <w:pStyle w:val="Heading2"/>
      </w:pPr>
      <w:r>
        <w:t xml:space="preserve">Ethics</w:t>
      </w:r>
    </w:p>
    <w:p>
      <w:pPr>
        <w:pStyle w:val="FirstParagraph"/>
      </w:pPr>
      <w:r>
        <w:t xml:space="preserve">Ethical approval was granted by the Ethics Review Board of the Faculty of Social and Behavioural Sciences of Utrecht University (FETC Registration Number: 25-2021).</w:t>
      </w:r>
    </w:p>
    <w:bookmarkEnd w:id="26"/>
    <w:bookmarkStart w:id="27" w:name="data"/>
    <w:p>
      <w:pPr>
        <w:pStyle w:val="Heading2"/>
      </w:pPr>
      <w:r>
        <w:t xml:space="preserve">Data</w:t>
      </w:r>
    </w:p>
    <w:p>
      <w:pPr>
        <w:pStyle w:val="FirstParagraph"/>
      </w:pPr>
      <w:r>
        <w:t xml:space="preserve">Consistent with</w:t>
      </w:r>
      <w:r>
        <w:t xml:space="preserve"> </w:t>
      </w:r>
      <w:r>
        <w:t xml:space="preserve">Kowall et al. (2025)</w:t>
      </w:r>
      <w:r>
        <w:t xml:space="preserve">, data from waves 1-7 (excluding wave 3) of the Survey of Health, Ageing and Retirement in Europe (SHARE) were used. SHARE is a longitudinal panel study conducted across 28 European countries, collecting data on health, social, economic and environmental policies, since 2004</w:t>
      </w:r>
      <w:r>
        <w:t xml:space="preserve"> </w:t>
      </w:r>
      <w:r>
        <w:t xml:space="preserve">(</w:t>
      </w:r>
      <w:r>
        <w:rPr>
          <w:b/>
          <w:bCs/>
        </w:rPr>
        <w:t xml:space="preserve">share-eric_survey_2024?</w:t>
      </w:r>
      <w:r>
        <w:t xml:space="preserve">;</w:t>
      </w:r>
      <w:r>
        <w:t xml:space="preserve"> </w:t>
      </w:r>
      <w:r>
        <w:rPr>
          <w:b/>
          <w:bCs/>
        </w:rPr>
        <w:t xml:space="preserve">share-eric_survey_2024-1?</w:t>
      </w:r>
      <w:r>
        <w:t xml:space="preserve">;</w:t>
      </w:r>
      <w:r>
        <w:t xml:space="preserve"> </w:t>
      </w:r>
      <w:r>
        <w:rPr>
          <w:b/>
          <w:bCs/>
        </w:rPr>
        <w:t xml:space="preserve">share-eric_survey_2024-2?</w:t>
      </w:r>
      <w:r>
        <w:t xml:space="preserve">;</w:t>
      </w:r>
      <w:r>
        <w:t xml:space="preserve"> </w:t>
      </w:r>
      <w:r>
        <w:rPr>
          <w:b/>
          <w:bCs/>
        </w:rPr>
        <w:t xml:space="preserve">share-eric_survey_2024-3?</w:t>
      </w:r>
      <w:r>
        <w:t xml:space="preserve">;</w:t>
      </w:r>
      <w:r>
        <w:t xml:space="preserve"> </w:t>
      </w:r>
      <w:r>
        <w:rPr>
          <w:b/>
          <w:bCs/>
        </w:rPr>
        <w:t xml:space="preserve">share-eric_survey_2024-4?</w:t>
      </w:r>
      <w:r>
        <w:t xml:space="preserve">;</w:t>
      </w:r>
      <w:r>
        <w:t xml:space="preserve"> </w:t>
      </w:r>
      <w:r>
        <w:rPr>
          <w:b/>
          <w:bCs/>
        </w:rPr>
        <w:t xml:space="preserve">share-eric_survey_2024-5?</w:t>
      </w:r>
      <w:r>
        <w:t xml:space="preserve">;</w:t>
      </w:r>
      <w:r>
        <w:t xml:space="preserve"> </w:t>
      </w:r>
      <w:r>
        <w:rPr>
          <w:b/>
          <w:bCs/>
        </w:rPr>
        <w:t xml:space="preserve">borsch-supan_data_2013?</w:t>
      </w:r>
      <w:r>
        <w:t xml:space="preserve">)</w:t>
      </w:r>
      <w:r>
        <w:t xml:space="preserve"> </w:t>
      </w:r>
      <w:r>
        <w:t xml:space="preserve">.</w:t>
      </w:r>
    </w:p>
    <w:p>
      <w:pPr>
        <w:pStyle w:val="BodyText"/>
      </w:pPr>
      <w:r>
        <w:t xml:space="preserve">All variables needed for the construction of the decision space (outcome, exposure, adjustment, exclusion) were selected from data sets that were available per wave. Then, one cleaned data set was created per wave, where the selected variables were linked through a participant ID variable. Lastly, all wave data sets were combined based on the selected data type option in the multiverse analysis (see Table</w:t>
      </w:r>
      <w:r>
        <w:t xml:space="preserve"> </w:t>
      </w:r>
      <w:r>
        <w:t xml:space="preserve"> </w:t>
      </w:r>
      <w:r>
        <w:t xml:space="preserve">for the different options). After data cleaning, but before applying the exclusion criteria and missing data handling, the samples consisted of:</w:t>
      </w:r>
    </w:p>
    <w:p>
      <w:pPr>
        <w:pStyle w:val="Compact"/>
        <w:numPr>
          <w:ilvl w:val="0"/>
          <w:numId w:val="1001"/>
        </w:numPr>
      </w:pPr>
      <w:r>
        <w:t xml:space="preserve">Cross-sectional all waves: 138,807 participants across 336,804 observations.</w:t>
      </w:r>
    </w:p>
    <w:p>
      <w:pPr>
        <w:pStyle w:val="Compact"/>
        <w:numPr>
          <w:ilvl w:val="0"/>
          <w:numId w:val="1001"/>
        </w:numPr>
      </w:pPr>
      <w:r>
        <w:t xml:space="preserve">Cross-sectional Wave 1: 30,416 participants across 30,416 observations.</w:t>
      </w:r>
    </w:p>
    <w:p>
      <w:pPr>
        <w:pStyle w:val="Compact"/>
        <w:numPr>
          <w:ilvl w:val="0"/>
          <w:numId w:val="1001"/>
        </w:numPr>
      </w:pPr>
      <w:r>
        <w:t xml:space="preserve">Longitudinal no strict baseline: 87,029 participants across 285,026 observations.</w:t>
      </w:r>
    </w:p>
    <w:p>
      <w:pPr>
        <w:pStyle w:val="Compact"/>
        <w:numPr>
          <w:ilvl w:val="0"/>
          <w:numId w:val="1001"/>
        </w:numPr>
      </w:pPr>
      <w:r>
        <w:t xml:space="preserve">Longitudinal Wave 1: 23,301 participants across 91,935 observations.</w:t>
      </w:r>
    </w:p>
    <w:bookmarkEnd w:id="27"/>
    <w:bookmarkStart w:id="28" w:name="definition-of-decision-space"/>
    <w:p>
      <w:pPr>
        <w:pStyle w:val="Heading2"/>
      </w:pPr>
      <w:r>
        <w:t xml:space="preserve">Definition of Decision Space</w:t>
      </w:r>
    </w:p>
    <w:p>
      <w:pPr>
        <w:pStyle w:val="FirstParagraph"/>
      </w:pPr>
      <w:r>
        <w:t xml:space="preserve">To define the decision space, all options of six different decisions made by the teams in</w:t>
      </w:r>
      <w:r>
        <w:t xml:space="preserve"> </w:t>
      </w:r>
      <w:r>
        <w:t xml:space="preserve">Kowall et al. (2025)</w:t>
      </w:r>
      <w:r>
        <w:t xml:space="preserve"> </w:t>
      </w:r>
      <w:r>
        <w:t xml:space="preserve">were identified based on information provided in the original publication (see Table</w:t>
      </w:r>
      <w:r>
        <w:t xml:space="preserve"> </w:t>
      </w:r>
      <w:r>
        <w:t xml:space="preserve">). The analytical decisions included handling missing data, choice of exclusion criteria, statistical model and definitions of dependent (outcome) variables, adjustment sets and target population. When systematically combining all options across decisions, the decision space consisted of 129,024 universes. After removing invalid research paths, 82,944 valid universes remained.</w:t>
      </w:r>
    </w:p>
    <w:p>
      <w:pPr>
        <w:pStyle w:val="BodyText"/>
      </w:pPr>
      <w:r>
        <w:t xml:space="preserve">Invalid paths included combinations of both types of cross-sectional data with models requiring longitudinal data structure (Cox proportional hazards (Cox PH), discrete-time mixed-effects), cross-sectional Wave 1 data with models requiring repeated measures (mixed-effects logistic regression, generalised estimating equations (GEE)), cross-sectional Wave 1 data with outcomes that were not available at baseline (event since last interview, cause of death), and Cox PH models with outcomes lacking time-to-event variables. For Cox PH models, although different time-to-event outcome operationalisations were used by different analysts, most of them used age as a proxy for time, so this was repeated in the present multiverse analysis.</w:t>
      </w:r>
    </w:p>
    <w:bookmarkEnd w:id="28"/>
    <w:bookmarkStart w:id="29" w:name="Xae430e2eb3297e5b67e6561808c960bb3cfc693"/>
    <w:p>
      <w:pPr>
        <w:pStyle w:val="Heading2"/>
      </w:pPr>
      <w:r>
        <w:t xml:space="preserve">Classifying Sources of Variation Using The AB-Framework</w:t>
      </w:r>
    </w:p>
    <w:p>
      <w:pPr>
        <w:pStyle w:val="FirstParagraph"/>
      </w:pPr>
      <w:r>
        <w:t xml:space="preserve">The selected decisions were classified using the AB-framework. Missing data and statistical model choice were classified as harmful sources of variation. Operationalisation of the outcome variable—by combining variables from SHARE concerning cardiovascular events in different ways—selection of confounders, and exclusion criteria were classified as helpful. Data structure was also classified as helpful, as the framework treats variations over time as representing different target populations (see Table</w:t>
      </w:r>
      <w:r>
        <w:t xml:space="preserve"> </w:t>
      </w:r>
      <w:r>
        <w:t xml:space="preserve">).</w:t>
      </w:r>
    </w:p>
    <w:bookmarkEnd w:id="29"/>
    <w:bookmarkStart w:id="30" w:name="combining-effect-size-measures"/>
    <w:p>
      <w:pPr>
        <w:pStyle w:val="Heading2"/>
      </w:pPr>
      <w:r>
        <w:t xml:space="preserve">Combining Effect Size Measures</w:t>
      </w:r>
    </w:p>
    <w:p>
      <w:pPr>
        <w:pStyle w:val="FirstParagraph"/>
      </w:pPr>
      <w:r>
        <w:t xml:space="preserve">Although</w:t>
      </w:r>
      <w:r>
        <w:t xml:space="preserve"> </w:t>
      </w:r>
      <w:r>
        <w:t xml:space="preserve">Kowall et al. (2025)</w:t>
      </w:r>
      <w:r>
        <w:t xml:space="preserve"> </w:t>
      </w:r>
      <w:r>
        <w:t xml:space="preserve">acknowledged that it would be beneficial for comparability to obtain the same effect size from all analyses, they chose to accept different measures to avoid forcing researchers in a specific direction through restricted model choice, which would come at the expense of researcher degrees of freedom. In the original analysis, six different types of regression models were used. Logistic regression, mixed-effects logistic regression, GEE, and discrete-time mixed-effects models produced odds ratios (OR). Cox PH models produced hazard ratios (HR). Log-binomial models produced risk ratios (RR).</w:t>
      </w:r>
    </w:p>
    <w:p>
      <w:pPr>
        <w:pStyle w:val="BodyText"/>
      </w:pPr>
      <w:r>
        <w:t xml:space="preserve">Even without restricted model choice, it is possible to combine different effect size measures</w:t>
      </w:r>
      <w:r>
        <w:t xml:space="preserve"> </w:t>
      </w:r>
      <w:r>
        <w:rPr>
          <w:i/>
          <w:iCs/>
        </w:rPr>
        <w:t xml:space="preserve">post-hoc</w:t>
      </w:r>
      <w:r>
        <w:t xml:space="preserve">. To enable comparison across universes, in the present study all effect sizes were converted to RRs—the ratio of two conditional probabilities:</w:t>
      </w:r>
    </w:p>
    <w:p>
      <w:pPr>
        <w:pStyle w:val="BodyText"/>
      </w:pPr>
    </w:p>
    <w:p>
      <w:pPr>
        <w:pStyle w:val="BodyText"/>
      </w:pPr>
      <w:r>
        <w:t xml:space="preserve">where</w:t>
      </w:r>
      <w:r>
        <w:t xml:space="preserve"> </w:t>
      </w:r>
      <m:oMath>
        <m:sSub>
          <m:e>
            <m:r>
              <m:t>p</m:t>
            </m:r>
          </m:e>
          <m:sub>
            <m:r>
              <m:t>1</m:t>
            </m:r>
          </m:sub>
        </m:sSub>
      </m:oMath>
      <w:r>
        <w:t xml:space="preserve"> </w:t>
      </w:r>
      <w:r>
        <w:t xml:space="preserve">is the probability of the outcome for the exposed group and</w:t>
      </w:r>
      <w:r>
        <w:t xml:space="preserve"> </w:t>
      </w:r>
      <m:oMath>
        <m:sSub>
          <m:e>
            <m:r>
              <m:t>p</m:t>
            </m:r>
          </m:e>
          <m:sub>
            <m:r>
              <m:t>0</m:t>
            </m:r>
          </m:sub>
        </m:sSub>
      </m:oMath>
      <w:r>
        <w:t xml:space="preserve"> </w:t>
      </w:r>
      <w:r>
        <w:t xml:space="preserve">is the probability of the outcome for the unexposed group</w:t>
      </w:r>
      <w:r>
        <w:t xml:space="preserve"> </w:t>
      </w:r>
      <w:r>
        <w:t xml:space="preserve">(Williamson et al., 2013)</w:t>
      </w:r>
      <w:r>
        <w:t xml:space="preserve">. RR values higher than 1 indicate that married people have a higher risk of cardiovascular outcomes, while RR values below 1 mean that unmarried people have a higher risk.</w:t>
      </w:r>
    </w:p>
    <w:p>
      <w:pPr>
        <w:pStyle w:val="BodyText"/>
      </w:pPr>
      <w:r>
        <w:t xml:space="preserve">When a disease is rare, odds ratios and hazard ratios both approximate risk ratios</w:t>
      </w:r>
      <w:r>
        <w:t xml:space="preserve"> </w:t>
      </w:r>
      <w:r>
        <w:t xml:space="preserve">(VanderWeele, 2020)</w:t>
      </w:r>
      <w:r>
        <w:t xml:space="preserve">. However, when the outcome is common (&gt; 10%), they can diverge substantially. Given that the overall prevalence in the unexposed group (</w:t>
      </w:r>
      <m:oMath>
        <m:sSub>
          <m:e>
            <m:r>
              <m:t>p</m:t>
            </m:r>
          </m:e>
          <m:sub>
            <m:r>
              <m:t>0</m:t>
            </m:r>
          </m:sub>
        </m:sSub>
      </m:oMath>
      <w:r>
        <w:t xml:space="preserve">) was around 18% in all subsets of the data, conversions for both OR and HR were necessary. Conversions to risk ratios often require knowing</w:t>
      </w:r>
      <w:r>
        <w:t xml:space="preserve"> </w:t>
      </w:r>
      <m:oMath>
        <m:sSub>
          <m:e>
            <m:r>
              <m:t>p</m:t>
            </m:r>
          </m:e>
          <m:sub>
            <m:r>
              <m:t>0</m:t>
            </m:r>
          </m:sub>
        </m:sSub>
      </m:oMath>
      <w:r>
        <w:t xml:space="preserve"> </w:t>
      </w:r>
      <w:r>
        <w:t xml:space="preserve">(Zhang &amp; Yu, 1998)</w:t>
      </w:r>
      <w:r>
        <w:t xml:space="preserve">. However, in a multiverse analysis,</w:t>
      </w:r>
      <w:r>
        <w:t xml:space="preserve"> </w:t>
      </w:r>
      <m:oMath>
        <m:sSub>
          <m:e>
            <m:r>
              <m:t>p</m:t>
            </m:r>
          </m:e>
          <m:sub>
            <m:r>
              <m:t>0</m:t>
            </m:r>
          </m:sub>
        </m:sSub>
      </m:oMath>
      <w:r>
        <w:t xml:space="preserve"> </w:t>
      </w:r>
      <w:r>
        <w:t xml:space="preserve">may vary across universes, depending on data type and exclusion decisions resulting in different data subsets. This could introduce arbitrary variation in the results, distorting the actual decision sensitivity.</w:t>
      </w:r>
    </w:p>
    <w:p>
      <w:pPr>
        <w:pStyle w:val="BodyText"/>
      </w:pPr>
      <w:r>
        <w:t xml:space="preserve">Therefore, conversions proposed by</w:t>
      </w:r>
      <w:r>
        <w:t xml:space="preserve"> </w:t>
      </w:r>
      <w:r>
        <w:t xml:space="preserve">VanderWeele (2020)</w:t>
      </w:r>
      <w:r>
        <w:t xml:space="preserve"> </w:t>
      </w:r>
      <w:r>
        <w:t xml:space="preserve">were used, designed for scenarios when</w:t>
      </w:r>
      <w:r>
        <w:t xml:space="preserve"> </w:t>
      </w:r>
      <m:oMath>
        <m:sSub>
          <m:e>
            <m:r>
              <m:t>p</m:t>
            </m:r>
          </m:e>
          <m:sub>
            <m:r>
              <m:t>0</m:t>
            </m:r>
          </m:sub>
        </m:sSub>
      </m:oMath>
      <w:r>
        <w:t xml:space="preserve"> </w:t>
      </w:r>
      <w:r>
        <w:t xml:space="preserve">is unknown. For odds ratios, assuming the prevalence expected to exceed 10%, square root transformation was applied</w:t>
      </w:r>
      <w:r>
        <w:t xml:space="preserve"> </w:t>
      </w:r>
      <w:r>
        <w:t xml:space="preserve">(Huang et al., 2022a)</w:t>
      </w:r>
      <w:r>
        <w:t xml:space="preserve">:</w:t>
      </w:r>
    </w:p>
    <w:p>
      <w:pPr>
        <w:pStyle w:val="BodyText"/>
      </w:pPr>
    </w:p>
    <w:p>
      <w:pPr>
        <w:pStyle w:val="BodyText"/>
      </w:pPr>
      <w:r>
        <w:t xml:space="preserve">For hazard ratios, assuming a prevalence between 20% and 80%, the following conversion was used</w:t>
      </w:r>
      <w:r>
        <w:t xml:space="preserve"> </w:t>
      </w:r>
      <w:r>
        <w:t xml:space="preserve">(Huang et al., 2022b; VanderWeele, 2020)</w:t>
      </w:r>
      <w:r>
        <w:t xml:space="preserve">:</w:t>
      </w:r>
    </w:p>
    <w:p>
      <w:pPr>
        <w:pStyle w:val="BodyText"/>
      </w:pPr>
    </w:p>
    <w:p>
      <w:pPr>
        <w:pStyle w:val="BodyText"/>
      </w:pPr>
      <w:r>
        <w:t xml:space="preserve">Although the overall prevalence was slightly lower than 20%, a conversion not requiring a specific</w:t>
      </w:r>
      <w:r>
        <w:t xml:space="preserve"> </w:t>
      </w:r>
      <m:oMath>
        <m:sSub>
          <m:e>
            <m:r>
              <m:t>p</m:t>
            </m:r>
          </m:e>
          <m:sub>
            <m:r>
              <m:t>0</m:t>
            </m:r>
          </m:sub>
        </m:sSub>
      </m:oMath>
      <w:r>
        <w:t xml:space="preserve"> </w:t>
      </w:r>
      <w:r>
        <w:t xml:space="preserve">value was preferred to avoid introducing additional variation.</w:t>
      </w:r>
    </w:p>
    <w:bookmarkEnd w:id="30"/>
    <w:bookmarkStart w:id="31" w:name="round-robin-sampling"/>
    <w:p>
      <w:pPr>
        <w:pStyle w:val="Heading2"/>
      </w:pPr>
      <w:r>
        <w:t xml:space="preserve">Round Robin Sampling</w:t>
      </w:r>
    </w:p>
    <w:p>
      <w:pPr>
        <w:pStyle w:val="FirstParagraph"/>
      </w:pPr>
      <w:r>
        <w:t xml:space="preserve">Because the number of reasonable universes grows exponentially with the number of decisions and their options, the computational cost of multiverse analyses increases rapidly. To address this,</w:t>
      </w:r>
      <w:r>
        <w:t xml:space="preserve"> </w:t>
      </w:r>
      <w:r>
        <w:t xml:space="preserve">Liu et al. (2023)</w:t>
      </w:r>
      <w:r>
        <w:t xml:space="preserve"> </w:t>
      </w:r>
      <w:r>
        <w:t xml:space="preserve">proposed sampling universes rather than exploring the full decision space. They evaluated various algorithms and found that Round Robin sampling was one of the most effective methods for approximating multiverse results. Therefore, this method was applied in the present study. Round Robin sampling aims to represent each decision option at least once. The algorithm iteratively loops through all decisions and their options, sampling one universe at each stage without replacement, ensuring each sampled universe is included at most once. For a visual example of how the algorithm works, see</w:t>
      </w:r>
      <w:r>
        <w:t xml:space="preserve"> </w:t>
      </w:r>
      <w:r>
        <w:rPr>
          <w:b/>
          <w:bCs/>
        </w:rPr>
        <w:t xml:space="preserve">?@fig-roundrobin</w:t>
      </w:r>
      <w:r>
        <w:t xml:space="preserve">.</w:t>
      </w:r>
    </w:p>
    <w:p>
      <w:pPr>
        <w:pStyle w:val="BodyText"/>
      </w:pPr>
      <w:r>
        <w:t xml:space="preserve">Although</w:t>
      </w:r>
      <w:r>
        <w:t xml:space="preserve"> </w:t>
      </w:r>
      <w:r>
        <w:t xml:space="preserve">Liu et al. (2023)</w:t>
      </w:r>
      <w:r>
        <w:t xml:space="preserve"> </w:t>
      </w:r>
      <w:r>
        <w:t xml:space="preserve">proposed sampling universes one by one and immediately processing the multiverse results, in the present study, universes were selected</w:t>
      </w:r>
      <w:r>
        <w:t xml:space="preserve"> </w:t>
      </w:r>
      <w:r>
        <w:rPr>
          <w:i/>
          <w:iCs/>
        </w:rPr>
        <w:t xml:space="preserve">a priori</w:t>
      </w:r>
      <w:r>
        <w:t xml:space="preserve"> </w:t>
      </w:r>
      <w:r>
        <w:t xml:space="preserve">before running the multiverse analysis. The sampler was implemented in two steps. First, decision options were mapped to corresponding row numbers in the full decision space. Then, row numbers were sampled according to the Round Robin algorithm and used to select universes from the original decision space. This approach was more computationally efficient than sampling directly from the decision space. A random seed was set to ensure reproducibility.</w:t>
      </w:r>
    </w:p>
    <w:p>
      <w:pPr>
        <w:pStyle w:val="BodyText"/>
      </w:pPr>
      <w:r>
        <w:t xml:space="preserve">To ensure sufficient data were available for each option to quantify decision sensitivity, a minimum of 100 universes per option was sampled. As adjustment set had the most options (64), this resulted in 6,400 sampled universes in total.</w:t>
      </w:r>
    </w:p>
    <w:bookmarkEnd w:id="31"/>
    <w:bookmarkStart w:id="32" w:name="decision-sensitivity"/>
    <w:p>
      <w:pPr>
        <w:pStyle w:val="Heading2"/>
      </w:pPr>
      <w:r>
        <w:t xml:space="preserve">Decision Sensitivity</w:t>
      </w:r>
    </w:p>
    <w:p>
      <w:pPr>
        <w:pStyle w:val="FirstParagraph"/>
      </w:pPr>
      <w:r>
        <w:t xml:space="preserve">Two visual methods were used to explore the robustness of the multiverse outcome distribution to different analytical specifications. First, density plots were constructed to visualise the distribution of risk ratios for each option within each analytical decision, as well as for adjustment sets defined by the inclusion or exclusion of specific confounders. Second, a specification curve was created by plotting each universe against its estimated risk ratio, ordered from smallest to largest effect size</w:t>
      </w:r>
      <w:r>
        <w:t xml:space="preserve"> </w:t>
      </w:r>
      <w:r>
        <w:t xml:space="preserve">(Simonsohn et al., 2015)</w:t>
      </w:r>
      <w:r>
        <w:t xml:space="preserve">. Additionally, mean risk ratios were compared across options within each decision to numerically explore observed patterns in more detail.</w:t>
      </w:r>
    </w:p>
    <w:p>
      <w:pPr>
        <w:pStyle w:val="BodyText"/>
      </w:pPr>
      <w:r>
        <w:t xml:space="preserve">Non-parametric k-sample Anderson-Darling tests were used to quantify the decision sensitivity, as proposed by</w:t>
      </w:r>
      <w:r>
        <w:t xml:space="preserve"> </w:t>
      </w:r>
      <w:r>
        <w:t xml:space="preserve">Liu et al. (2023)</w:t>
      </w:r>
      <w:r>
        <w:t xml:space="preserve">. If RRs resulting from</w:t>
      </w:r>
      <w:r>
        <w:t xml:space="preserve"> </w:t>
      </w:r>
      <w:r>
        <w:rPr>
          <w:i/>
          <w:iCs/>
        </w:rPr>
        <w:t xml:space="preserve">k</w:t>
      </w:r>
      <w:r>
        <w:t xml:space="preserve"> </w:t>
      </w:r>
      <w:r>
        <w:t xml:space="preserve">options within a decision were found not to originate from the same empirical cumulative distribution function, the decision was classified as sensitive</w:t>
      </w:r>
      <w:r>
        <w:t xml:space="preserve"> </w:t>
      </w:r>
      <w:r>
        <w:t xml:space="preserve">(Scholz &amp; Stephens, 1987)</w:t>
      </w:r>
      <w:r>
        <w:t xml:space="preserve">. The AD statistic measures the weighted difference between the ECDFs of</w:t>
      </w:r>
      <w:r>
        <w:t xml:space="preserve"> </w:t>
      </w:r>
      <w:r>
        <w:rPr>
          <w:i/>
          <w:iCs/>
        </w:rPr>
        <w:t xml:space="preserve">k</w:t>
      </w:r>
      <w:r>
        <w:t xml:space="preserve"> </w:t>
      </w:r>
      <w:r>
        <w:t xml:space="preserve">samples, with emphasis on the tails of the distributions, and is calculated as follows:</w:t>
      </w:r>
    </w:p>
    <w:p>
      <w:pPr>
        <w:pStyle w:val="BodyText"/>
      </w:pPr>
    </w:p>
    <w:p>
      <w:pPr>
        <w:pStyle w:val="BodyText"/>
      </w:pPr>
      <w:r>
        <w:t xml:space="preserve">Where:</w:t>
      </w:r>
    </w:p>
    <w:p>
      <w:pPr>
        <w:pStyle w:val="Compact"/>
        <w:numPr>
          <w:ilvl w:val="0"/>
          <w:numId w:val="1002"/>
        </w:numPr>
      </w:pPr>
      <m:oMath>
        <m:r>
          <m:t>N</m:t>
        </m:r>
      </m:oMath>
      <w:r>
        <w:t xml:space="preserve"> </w:t>
      </w:r>
      <w:r>
        <w:t xml:space="preserve">is the number of observations; the number of RRs resulting from all possible universes.</w:t>
      </w:r>
    </w:p>
    <w:p>
      <w:pPr>
        <w:pStyle w:val="Compact"/>
        <w:numPr>
          <w:ilvl w:val="0"/>
          <w:numId w:val="1002"/>
        </w:numPr>
      </w:pPr>
      <m:oMath>
        <m:r>
          <m:t>k</m:t>
        </m:r>
      </m:oMath>
      <w:r>
        <w:t xml:space="preserve"> </w:t>
      </w:r>
      <w:r>
        <w:t xml:space="preserve">is the number of groups; number of options per decision.</w:t>
      </w:r>
    </w:p>
    <w:p>
      <w:pPr>
        <w:pStyle w:val="Compact"/>
        <w:numPr>
          <w:ilvl w:val="0"/>
          <w:numId w:val="1002"/>
        </w:numPr>
      </w:pPr>
      <m:oMath>
        <m:sSub>
          <m:e>
            <m:r>
              <m:t>n</m:t>
            </m:r>
          </m:e>
          <m:sub>
            <m:r>
              <m:t>i</m:t>
            </m:r>
          </m:sub>
        </m:sSub>
      </m:oMath>
      <w:r>
        <w:t xml:space="preserve"> </w:t>
      </w:r>
      <w:r>
        <w:t xml:space="preserve">is the number of observations per group; number or RRs resulting universes including a specific option.</w:t>
      </w:r>
    </w:p>
    <w:p>
      <w:pPr>
        <w:pStyle w:val="Compact"/>
        <w:numPr>
          <w:ilvl w:val="0"/>
          <w:numId w:val="1002"/>
        </w:numPr>
      </w:pPr>
      <m:oMath>
        <m:sSub>
          <m:e>
            <m:r>
              <m:t>Z</m:t>
            </m:r>
          </m:e>
          <m:sub>
            <m:r>
              <m:t>1</m:t>
            </m:r>
          </m:sub>
        </m:sSub>
        <m:r>
          <m:rPr>
            <m:sty m:val="p"/>
          </m:rPr>
          <m:t>&lt;</m:t>
        </m:r>
        <m:r>
          <m:rPr>
            <m:sty m:val="p"/>
          </m:rPr>
          <m:t>.</m:t>
        </m:r>
        <m:r>
          <m:rPr>
            <m:sty m:val="p"/>
          </m:rPr>
          <m:t>.</m:t>
        </m:r>
        <m:r>
          <m:rPr>
            <m:sty m:val="p"/>
          </m:rPr>
          <m:t>.</m:t>
        </m:r>
        <m:r>
          <m:rPr>
            <m:sty m:val="p"/>
          </m:rPr>
          <m:t>&lt;</m:t>
        </m:r>
        <m:sSub>
          <m:e>
            <m:r>
              <m:t>Z</m:t>
            </m:r>
          </m:e>
          <m:sub>
            <m:r>
              <m:t>N</m:t>
            </m:r>
          </m:sub>
        </m:sSub>
      </m:oMath>
      <w:r>
        <w:t xml:space="preserve"> </w:t>
      </w:r>
      <w:r>
        <w:t xml:space="preserve">is the pooled ordered sample; all RRs ordered from lowest to highest.</w:t>
      </w:r>
    </w:p>
    <w:p>
      <w:pPr>
        <w:pStyle w:val="Compact"/>
        <w:numPr>
          <w:ilvl w:val="0"/>
          <w:numId w:val="1002"/>
        </w:numPr>
      </w:pPr>
      <m:oMath>
        <m:r>
          <m:t>j</m:t>
        </m:r>
      </m:oMath>
      <w:r>
        <w:t xml:space="preserve"> </w:t>
      </w:r>
      <w:r>
        <w:t xml:space="preserve">is the position in the pooled rank list</w:t>
      </w:r>
      <w:r>
        <w:t xml:space="preserve"> </w:t>
      </w:r>
      <m:oMath>
        <m:sSub>
          <m:e>
            <m:r>
              <m:t>Z</m:t>
            </m:r>
          </m:e>
          <m:sub>
            <m:r>
              <m:t>j</m:t>
            </m:r>
          </m:sub>
        </m:sSub>
      </m:oMath>
      <w:r>
        <w:t xml:space="preserve">.</w:t>
      </w:r>
    </w:p>
    <w:p>
      <w:pPr>
        <w:pStyle w:val="Compact"/>
        <w:numPr>
          <w:ilvl w:val="0"/>
          <w:numId w:val="1002"/>
        </w:numPr>
      </w:pPr>
      <m:oMath>
        <m:sSub>
          <m:e>
            <m:r>
              <m:t>M</m:t>
            </m:r>
          </m:e>
          <m:sub>
            <m:r>
              <m:t>i</m:t>
            </m:r>
            <m:r>
              <m:t>j</m:t>
            </m:r>
          </m:sub>
        </m:sSub>
      </m:oMath>
      <w:r>
        <w:t xml:space="preserve"> </w:t>
      </w:r>
      <w:r>
        <w:t xml:space="preserve">is the number of observations in a group that are smaller or equal to</w:t>
      </w:r>
      <w:r>
        <w:t xml:space="preserve"> </w:t>
      </w:r>
      <m:oMath>
        <m:sSub>
          <m:e>
            <m:r>
              <m:t>Z</m:t>
            </m:r>
          </m:e>
          <m:sub>
            <m:r>
              <m:t>j</m:t>
            </m:r>
          </m:sub>
        </m:sSub>
      </m:oMath>
      <w:r>
        <w:t xml:space="preserve">.</w:t>
      </w:r>
    </w:p>
    <w:p>
      <w:pPr>
        <w:pStyle w:val="Compact"/>
        <w:numPr>
          <w:ilvl w:val="0"/>
          <w:numId w:val="1002"/>
        </w:numPr>
      </w:pPr>
      <m:oMath>
        <m:r>
          <m:t>j</m:t>
        </m:r>
        <m:d>
          <m:dPr>
            <m:begChr m:val="("/>
            <m:sepChr m:val=""/>
            <m:endChr m:val=")"/>
            <m:grow/>
          </m:dPr>
          <m:e>
            <m:r>
              <m:t>N</m:t>
            </m:r>
            <m:r>
              <m:rPr>
                <m:sty m:val="p"/>
              </m:rPr>
              <m:t>−</m:t>
            </m:r>
            <m:r>
              <m:t>j</m:t>
            </m:r>
          </m:e>
        </m:d>
      </m:oMath>
      <w:r>
        <w:t xml:space="preserve"> </w:t>
      </w:r>
      <w:r>
        <w:t xml:space="preserve">is used to add heavier weigths to the tails of each distribution.</w:t>
      </w:r>
    </w:p>
    <w:p>
      <w:pPr>
        <w:pStyle w:val="FirstParagraph"/>
      </w:pPr>
      <w:r>
        <w:t xml:space="preserve">The standardised AD statistic (T.AD), which adjusts for number of groups and sample size, was used for between-decision comparisons to evaluate the relative sensitivity of each decision, where higher T.AD values indicate more sensitive decisions. This statistic is calculated as follows:</w:t>
      </w:r>
    </w:p>
    <w:p>
      <w:pPr>
        <w:pStyle w:val="BodyText"/>
      </w:pPr>
    </w:p>
    <w:p>
      <w:pPr>
        <w:pStyle w:val="BodyText"/>
      </w:pPr>
      <w:r>
        <w:t xml:space="preserve">For a more detailed calculation of</w:t>
      </w:r>
      <w:r>
        <w:t xml:space="preserve"> </w:t>
      </w:r>
      <m:oMath>
        <m:sSub>
          <m:e>
            <m:r>
              <m:t>σ</m:t>
            </m:r>
          </m:e>
          <m:sub>
            <m:r>
              <m:t>N</m:t>
            </m:r>
          </m:sub>
        </m:sSub>
      </m:oMath>
      <w:r>
        <w:t xml:space="preserve">, the variance of</w:t>
      </w:r>
      <w:r>
        <w:t xml:space="preserve"> </w:t>
      </w:r>
      <m:oMath>
        <m:sSubSup>
          <m:e>
            <m:r>
              <m:t>A</m:t>
            </m:r>
          </m:e>
          <m:sub>
            <m:r>
              <m:t>k</m:t>
            </m:r>
            <m:r>
              <m:t>N</m:t>
            </m:r>
          </m:sub>
          <m:sup>
            <m:r>
              <m:t>2</m:t>
            </m:r>
          </m:sup>
        </m:sSubSup>
      </m:oMath>
      <w:r>
        <w:t xml:space="preserve">, see</w:t>
      </w:r>
      <w:r>
        <w:t xml:space="preserve"> </w:t>
      </w:r>
      <w:r>
        <w:t xml:space="preserve">Scholz &amp; Stephens (1987, Equation 4)</w:t>
      </w:r>
      <w:r>
        <w:t xml:space="preserve">.</w:t>
      </w:r>
    </w:p>
    <w:p>
      <w:pPr>
        <w:pStyle w:val="BodyText"/>
      </w:pPr>
      <w:r>
        <w:t xml:space="preserve">Because there were sixty-four different adjustment sets, KS tests were used for a more detailed evaluation of its decision sensitivity, comparing risk ratio distributions for specifications including versus excluding each adjustment variable. The KS test statistic (D) represents the maximum absolute difference between the empirical cumulative distribution functions of the two samples, ranging from 0 (identical) to 1 (no overlap). Values closer to 0 indicate a higher likelihood that the two samples were drawn from the same distribution.</w:t>
      </w:r>
    </w:p>
    <w:bookmarkEnd w:id="32"/>
    <w:bookmarkStart w:id="34" w:name="supplementary-materials"/>
    <w:p>
      <w:pPr>
        <w:pStyle w:val="Heading2"/>
      </w:pPr>
      <w:r>
        <w:t xml:space="preserve">Supplementary Materials</w:t>
      </w:r>
    </w:p>
    <w:p>
      <w:pPr>
        <w:pStyle w:val="FirstParagraph"/>
      </w:pPr>
      <w:r>
        <w:t xml:space="preserve">All analyses were conducted in R</w:t>
      </w:r>
      <w:r>
        <w:t xml:space="preserve"> </w:t>
      </w:r>
      <w:r>
        <w:t xml:space="preserve">(version 4.4.2, Team, 2024)</w:t>
      </w:r>
      <w:r>
        <w:t xml:space="preserve">. All code scripts, with sampler and multiverse functions, and package versions, can be found</w:t>
      </w:r>
      <w:r>
        <w:t xml:space="preserve"> </w:t>
      </w:r>
      <w:hyperlink r:id="rId33">
        <w:r>
          <w:rPr>
            <w:rStyle w:val="Hyperlink"/>
          </w:rPr>
          <w:t xml:space="preserve">here</w:t>
        </w:r>
      </w:hyperlink>
      <w:r>
        <w:t xml:space="preserve">.</w:t>
      </w:r>
    </w:p>
    <w:bookmarkEnd w:id="34"/>
    <w:bookmarkEnd w:id="35"/>
    <w:bookmarkStart w:id="40" w:name="results"/>
    <w:p>
      <w:pPr>
        <w:pStyle w:val="Heading1"/>
      </w:pPr>
      <w:r>
        <w:t xml:space="preserve">Results</w:t>
      </w:r>
    </w:p>
    <w:p>
      <w:pPr>
        <w:pStyle w:val="FirstParagraph"/>
      </w:pPr>
      <w:r>
        <w:t xml:space="preserve">To evaluate the relative influence of each analytical decision on effect size variability, a combination of descriptive and inferential methods was used. First, some descriptive statistics of the underlying SHARE data are reported, which were used to explore potential explanations for the observed patterns. Then, general multiverse results are highlighted, including model convergence rates and the overall distribution of effect sizes across specifications, both visually and numerically. Then, the results of the decision sensitivity analyses are presented.</w:t>
      </w:r>
    </w:p>
    <w:bookmarkStart w:id="36" w:name="descriptive-statistics-share-data-set"/>
    <w:p>
      <w:pPr>
        <w:pStyle w:val="Heading2"/>
      </w:pPr>
      <w:r>
        <w:t xml:space="preserve">Descriptive Statistics SHARE Data Set</w:t>
      </w:r>
    </w:p>
    <w:p>
      <w:pPr>
        <w:pStyle w:val="FirstParagraph"/>
      </w:pPr>
      <w:r>
        <w:t xml:space="preserve">Descriptive statistics about the SHARE data that was used for all analyses can be found in</w:t>
      </w:r>
      <w:r>
        <w:t xml:space="preserve"> </w:t>
      </w:r>
      <w:r>
        <w:rPr>
          <w:b/>
          <w:bCs/>
        </w:rPr>
        <w:t xml:space="preserve">?@tbl-DescSHARE</w:t>
      </w:r>
      <w:r>
        <w:t xml:space="preserve">. The number of people who were married was about twice as high as the number of unmarried people. It stood out that not all confounders were equally distributed across groups. Married individuals were on average 4 years younger than unmarried individuals (65 versus 69 years old). Additionally, the distribution of sex differed between groups: 50.8% of married individuals were female, compared to 68.5% in the unmarried group. The percentage of smokers was comparable across groups.</w:t>
      </w:r>
    </w:p>
    <w:bookmarkEnd w:id="36"/>
    <w:bookmarkStart w:id="37" w:name="model-convergence"/>
    <w:p>
      <w:pPr>
        <w:pStyle w:val="Heading2"/>
      </w:pPr>
      <w:r>
        <w:t xml:space="preserve">Model Convergence</w:t>
      </w:r>
    </w:p>
    <w:p>
      <w:pPr>
        <w:pStyle w:val="FirstParagraph"/>
      </w:pPr>
      <w:r>
        <w:t xml:space="preserve">Out of the 6,400 sampled universes, 1,487 failed to converge. Non-convergence mostly occurred in log-binomial models (n = 1,102), followed by generalised estimating equations (GEE; n = 221) and logistic regression (n = 164). Non-convergence seemed to occurr most often when the adjustment sets increased in size. The other three model types (Cox PH, mixed effects logistic, and discrete-time mixed effects) successfully converged in all cases. Across other analytical decisions, non-convergence was distributed approximately equally, suggesting these decisions did not substantially affect model convergence. In total, 4,913 universes yielded valid risk ratio estimates. The number of converged and non-converged universes per decision option can be found in</w:t>
      </w:r>
      <w:r>
        <w:t xml:space="preserve"> </w:t>
      </w:r>
      <w:r>
        <w:rPr>
          <w:b/>
          <w:bCs/>
        </w:rPr>
        <w:t xml:space="preserve">?@tbl-RRfulltable</w:t>
      </w:r>
      <w:r>
        <w:t xml:space="preserve">.</w:t>
      </w:r>
    </w:p>
    <w:bookmarkEnd w:id="37"/>
    <w:bookmarkStart w:id="38" w:name="overall-multiverse-results"/>
    <w:p>
      <w:pPr>
        <w:pStyle w:val="Heading2"/>
      </w:pPr>
      <w:r>
        <w:t xml:space="preserve">Overall Multiverse Results</w:t>
      </w:r>
    </w:p>
    <w:p>
      <w:pPr>
        <w:pStyle w:val="FirstParagraph"/>
      </w:pPr>
      <w:r>
        <w:t xml:space="preserve">Across the 4,913 successful specifications, risk ratio estimates ranged from 0.71 to 1.68 (median = 0.95, mean = 0.94, SD = 0.1), with 79.6% yielding significant results (p &lt; .05). Of all converged specifications, 65.3% showed a statistically significant negative association (RR &lt; 1, p &lt; .05), 14.3% a statistically significant positive association (RR &gt; 1, p &lt; .05), and 20.4% were non-significant. Within this sample of the full multiverse, marriage thus appeared both as a protective factor (RR &lt; 1) and a risk factor (RR &gt; 1) for cardiovascular events, depending on the analytical specification.</w:t>
      </w:r>
      <w:r>
        <w:t xml:space="preserve"> </w:t>
      </w:r>
      <w:r>
        <w:rPr>
          <w:b/>
          <w:bCs/>
        </w:rPr>
        <w:t xml:space="preserve">?@fig-spec-curve</w:t>
      </w:r>
      <w:r>
        <w:t xml:space="preserve"> </w:t>
      </w:r>
      <w:r>
        <w:t xml:space="preserve">shows the full distribution of the effect estimates across universes, arranged from smallest to largest risk ratio, with significance indicated by colour.</w:t>
      </w:r>
    </w:p>
    <w:p>
      <w:pPr>
        <w:pStyle w:val="BodyText"/>
      </w:pPr>
      <w:r>
        <w:t xml:space="preserve">Several patterns emerged in the specification curve (</w:t>
      </w:r>
      <w:r>
        <w:rPr>
          <w:b/>
          <w:bCs/>
        </w:rPr>
        <w:t xml:space="preserve">?@fig-spec-curve</w:t>
      </w:r>
      <w:r>
        <w:t xml:space="preserve">). First, universes including age as an adjustment variable were clustered around higher RRs (mostly</w:t>
      </w:r>
      <w:r>
        <w:t xml:space="preserve"> </w:t>
      </w:r>
      <m:oMath>
        <m:r>
          <m:rPr>
            <m:sty m:val="p"/>
          </m:rPr>
          <m:t>≥</m:t>
        </m:r>
        <m:r>
          <m:t>1</m:t>
        </m:r>
      </m:oMath>
      <w:r>
        <w:t xml:space="preserve">), while universes without age were clustered around lower RRs (all &lt; 1). When age was not controlled for, marriage thus appeared a protective factor for cardiovascular events, while this effect disappeared or even reversed when age was accounted for.</w:t>
      </w:r>
    </w:p>
    <w:p>
      <w:pPr>
        <w:pStyle w:val="BodyText"/>
      </w:pPr>
      <w:r>
        <w:t xml:space="preserve">Second, the inclusion of sex as an adjustment variable showed roughly the opposite pattern to age. Universes including sex were clustered around lower RR values (almost all</w:t>
      </w:r>
      <w:r>
        <w:t xml:space="preserve"> </w:t>
      </w:r>
      <m:oMath>
        <m:r>
          <m:rPr>
            <m:sty m:val="p"/>
          </m:rPr>
          <m:t>≤</m:t>
        </m:r>
      </m:oMath>
      <w:r>
        <w:t xml:space="preserve"> </w:t>
      </w:r>
      <w:r>
        <w:t xml:space="preserve">1), while those excluding sex more often resulted in higher RRs. When sex was not accounted for, the association was estimated across males and females simultaneously, which appears to have attenuated the potential protective effect of marriage.</w:t>
      </w:r>
    </w:p>
    <w:p>
      <w:pPr>
        <w:pStyle w:val="BodyText"/>
      </w:pPr>
      <w:r>
        <w:t xml:space="preserve">Third, not including any covariates (ADJ-None in</w:t>
      </w:r>
      <w:r>
        <w:t xml:space="preserve"> </w:t>
      </w:r>
      <w:r>
        <w:rPr>
          <w:b/>
          <w:bCs/>
        </w:rPr>
        <w:t xml:space="preserve">?@fig-spec-curve</w:t>
      </w:r>
      <w:r>
        <w:t xml:space="preserve">) always resulted in significantly negative results (RR &lt; 1). This means that the results of models not adjusting for any covariates always suggested marriage had a protective effect on cardiovascular outcomes.</w:t>
      </w:r>
    </w:p>
    <w:p>
      <w:pPr>
        <w:pStyle w:val="BodyText"/>
      </w:pPr>
      <w:r>
        <w:t xml:space="preserve">Fourth, the highest RRs (&gt; 1.25) only occurred in specifications including Cox PH models, although almost none of these estimates reached significance. Log-binomial models, in contrast, yielded only RRs below 1, almost all of which were significant, indicating a protective effect of marriage. Effect estimates seemed robust to the other adjustment variables, all data types, missing data handling, outcomes (except when combining outcome variables</w:t>
      </w:r>
      <w:r>
        <w:t xml:space="preserve"> </w:t>
      </w:r>
      <w:r>
        <w:t xml:space="preserve">“age at event”</w:t>
      </w:r>
      <w:r>
        <w:t xml:space="preserve"> </w:t>
      </w:r>
      <w:r>
        <w:t xml:space="preserve">and</w:t>
      </w:r>
      <w:r>
        <w:t xml:space="preserve"> </w:t>
      </w:r>
      <w:r>
        <w:t xml:space="preserve">“event ever”</w:t>
      </w:r>
      <w:r>
        <w:t xml:space="preserve">), and exclusion criteria, with no clear clustering patterns across these decisions.</w:t>
      </w:r>
    </w:p>
    <w:bookmarkEnd w:id="38"/>
    <w:bookmarkStart w:id="39" w:name="decision-sensitivity-1"/>
    <w:p>
      <w:pPr>
        <w:pStyle w:val="Heading2"/>
      </w:pPr>
      <w:r>
        <w:t xml:space="preserve">Decision Sensitivity</w:t>
      </w:r>
    </w:p>
    <w:p>
      <w:pPr>
        <w:pStyle w:val="FirstParagraph"/>
      </w:pPr>
      <w:r>
        <w:t xml:space="preserve">Density plots were used to examine the effect size distributions across decision options in more detail (see</w:t>
      </w:r>
      <w:r>
        <w:t xml:space="preserve"> </w:t>
      </w:r>
      <w:r>
        <w:rPr>
          <w:b/>
          <w:bCs/>
        </w:rPr>
        <w:t xml:space="preserve">?@fig-dens-plot</w:t>
      </w:r>
      <w:r>
        <w:t xml:space="preserve">). Data type, missing data, exclusion criteria, and outcome showed largely overlapping RR distributions across their options. However, in case of statistical models and adjustment sets there were clear separations in RR densities between options. Consistent with the patterns found in</w:t>
      </w:r>
      <w:r>
        <w:t xml:space="preserve"> </w:t>
      </w:r>
      <w:r>
        <w:rPr>
          <w:b/>
          <w:bCs/>
        </w:rPr>
        <w:t xml:space="preserve">?@fig-spec-curve</w:t>
      </w:r>
      <w:r>
        <w:t xml:space="preserve">, log-binomial models were clustered below RR values of 1, while the density of Cox PH showed a long tail extending above 1. Specifications that included age in the adjustment set showed a clear shift towards higher RRs compared to those without age as a confounder.</w:t>
      </w:r>
    </w:p>
    <w:p>
      <w:pPr>
        <w:pStyle w:val="BodyText"/>
      </w:pPr>
      <w:r>
        <w:t xml:space="preserve">Mean RR ranges across options confirmed the patterns found in the specification curve and density plots (</w:t>
      </w:r>
      <w:r>
        <w:rPr>
          <w:b/>
          <w:bCs/>
        </w:rPr>
        <w:t xml:space="preserve">?@tbl-RRfulltable</w:t>
      </w:r>
      <w:r>
        <w:t xml:space="preserve">). Statistical model (0.83–1.08) and adjustment set (0.83–1.05) showed the largest variation in mean RR across options, while other decisions showed smaller ranges: exclusion criteria (0.94–0.94), missing data (0.93–0.95), data type (0.93–0.97), and outcome (0.92–0.98).</w:t>
      </w:r>
    </w:p>
    <w:p>
      <w:pPr>
        <w:pStyle w:val="BodyText"/>
      </w:pPr>
      <w:r>
        <w:t xml:space="preserve">A k-sample Anderson-Darling test (AD test) was used to quantify decision sensitivity (for the ECDFs per decision see</w:t>
      </w:r>
      <w:r>
        <w:t xml:space="preserve"> </w:t>
      </w:r>
      <w:r>
        <w:rPr>
          <w:b/>
          <w:bCs/>
        </w:rPr>
        <w:t xml:space="preserve">?@fig-ECDF</w:t>
      </w:r>
      <w:r>
        <w:t xml:space="preserve"> </w:t>
      </w:r>
      <w:r>
        <w:t xml:space="preserve">in the Appendix). As shown in</w:t>
      </w:r>
      <w:r>
        <w:t xml:space="preserve"> </w:t>
      </w:r>
      <w:r>
        <w:rPr>
          <w:b/>
          <w:bCs/>
        </w:rPr>
        <w:t xml:space="preserve">?@tbl-ADtest</w:t>
      </w:r>
      <w:r>
        <w:t xml:space="preserve">, AD tests for all decisions were highly significant (almost all p &lt; .001), indicating distributional differences across options within each decision. Adjustment set and statistical model showed substantially higher T.AD values (307.1 and 394.79, respectively) than other decisions (missing data: 5.89; exclusion: 13.13; outcome: 50.88; data type: 52.26). This indicates that statistical model and adjustment set had the largest impact on the distribution of effect estimates. The number of options per decision did not seem to substantially affect the T.AD values.</w:t>
      </w:r>
    </w:p>
    <w:p>
      <w:r>
        <w:br w:type="page"/>
      </w:r>
    </w:p>
    <w:p>
      <w:pPr>
        <w:pStyle w:val="BodyText"/>
      </w:pPr>
      <w:r>
        <w:t xml:space="preserve">Kolmogorov-Smirnov tests (KS test) were used to compare RR distributions for specifications including versus excluding each adjustment variable. For the ECDFs across adjustment variables, see</w:t>
      </w:r>
      <w:r>
        <w:t xml:space="preserve"> </w:t>
      </w:r>
      <w:r>
        <w:rPr>
          <w:b/>
          <w:bCs/>
        </w:rPr>
        <w:t xml:space="preserve">?@fig-ECDF-ADJ</w:t>
      </w:r>
      <w:r>
        <w:t xml:space="preserve">. As can be seen in</w:t>
      </w:r>
      <w:r>
        <w:t xml:space="preserve"> </w:t>
      </w:r>
      <w:r>
        <w:rPr>
          <w:b/>
          <w:bCs/>
        </w:rPr>
        <w:t xml:space="preserve">?@tbl-KStest</w:t>
      </w:r>
      <w:r>
        <w:t xml:space="preserve">, inclusion of all adjustment variables, except smoking, resulted in significantly different distributions than when these variables were excluded (p &lt; .001). Age showed the largest effect (0.88), followed by not including any confounders (0.54) and sex (0.45). Physical activity, country, and education showed moderate, but significant, effects (</w:t>
      </w:r>
      <m:oMath>
        <m:sSub>
          <m:e>
            <m:r>
              <m:t>D</m:t>
            </m:r>
          </m:e>
          <m:sub>
            <m:r>
              <m:t>a</m:t>
            </m:r>
            <m:r>
              <m:t>c</m:t>
            </m:r>
            <m:r>
              <m:t>t</m:t>
            </m:r>
            <m:r>
              <m:t>i</m:t>
            </m:r>
            <m:r>
              <m:t>v</m:t>
            </m:r>
            <m:r>
              <m:t>i</m:t>
            </m:r>
            <m:r>
              <m:t>t</m:t>
            </m:r>
            <m:r>
              <m:t>y</m:t>
            </m:r>
          </m:sub>
        </m:sSub>
      </m:oMath>
      <w:r>
        <w:t xml:space="preserve"> </w:t>
      </w:r>
      <w:r>
        <w:t xml:space="preserve">= 0.16,</w:t>
      </w:r>
      <w:r>
        <w:t xml:space="preserve"> </w:t>
      </w:r>
      <m:oMath>
        <m:sSub>
          <m:e>
            <m:r>
              <m:t>D</m:t>
            </m:r>
          </m:e>
          <m:sub>
            <m:r>
              <m:t>c</m:t>
            </m:r>
            <m:r>
              <m:t>o</m:t>
            </m:r>
            <m:r>
              <m:t>u</m:t>
            </m:r>
            <m:r>
              <m:t>n</m:t>
            </m:r>
            <m:r>
              <m:t>t</m:t>
            </m:r>
            <m:r>
              <m:t>r</m:t>
            </m:r>
            <m:r>
              <m:t>y</m:t>
            </m:r>
          </m:sub>
        </m:sSub>
      </m:oMath>
      <w:r>
        <w:t xml:space="preserve"> </w:t>
      </w:r>
      <w:r>
        <w:t xml:space="preserve">= 0.1, and</w:t>
      </w:r>
      <w:r>
        <w:t xml:space="preserve"> </w:t>
      </w:r>
      <m:oMath>
        <m:sSub>
          <m:e>
            <m:r>
              <m:t>D</m:t>
            </m:r>
          </m:e>
          <m:sub>
            <m:r>
              <m:t>e</m:t>
            </m:r>
            <m:r>
              <m:t>d</m:t>
            </m:r>
            <m:r>
              <m:t>u</m:t>
            </m:r>
            <m:r>
              <m:t>c</m:t>
            </m:r>
            <m:r>
              <m:t>a</m:t>
            </m:r>
            <m:r>
              <m:t>t</m:t>
            </m:r>
            <m:r>
              <m:t>i</m:t>
            </m:r>
            <m:r>
              <m:t>o</m:t>
            </m:r>
            <m:r>
              <m:t>n</m:t>
            </m:r>
          </m:sub>
        </m:sSub>
      </m:oMath>
      <w:r>
        <w:t xml:space="preserve"> </w:t>
      </w:r>
      <w:r>
        <w:t xml:space="preserve">= 0.08). This confirms that the adjustment set sensitivity seems to be driven primarily by age, sex and the decision not to include confounders at all.</w:t>
      </w:r>
    </w:p>
    <w:p>
      <w:r>
        <w:br w:type="page"/>
      </w:r>
    </w:p>
    <w:p>
      <w:pPr>
        <w:pStyle w:val="BodyText"/>
      </w:pPr>
      <w:r>
        <w:t xml:space="preserve">That adjustment set sensitivity is driven primarily by age, sex and not including any confounders (when None was included), was also visible in the RR density distributions (</w:t>
      </w:r>
      <w:r>
        <w:rPr>
          <w:b/>
          <w:bCs/>
        </w:rPr>
        <w:t xml:space="preserve">?@fig-dens-ADJ</w:t>
      </w:r>
      <w:r>
        <w:t xml:space="preserve">). Including age as an adjustment variable shifted the RR distribution to the right (higher RRs), while including sex shifted it to the left (lower RRs). The density pattern of specifications with no confounders resembled that of specifications excluding age. This suggests that adjustment set sensitivity was likely mainly driven by whether age was included at all, which was consistent with the clustered pattern observed in the specification curve (</w:t>
      </w:r>
      <w:r>
        <w:rPr>
          <w:b/>
          <w:bCs/>
        </w:rPr>
        <w:t xml:space="preserve">?@fig-spec-curve</w:t>
      </w:r>
      <w:r>
        <w:t xml:space="preserve">). Other adjustment variables did not result in pronounced differences between RR distributions.</w:t>
      </w:r>
    </w:p>
    <w:p>
      <w:r>
        <w:br w:type="page"/>
      </w:r>
    </w:p>
    <w:bookmarkEnd w:id="39"/>
    <w:bookmarkEnd w:id="40"/>
    <w:bookmarkStart w:id="46" w:name="discussion"/>
    <w:p>
      <w:pPr>
        <w:pStyle w:val="Heading1"/>
      </w:pPr>
      <w:r>
        <w:t xml:space="preserve">Discussion</w:t>
      </w:r>
    </w:p>
    <w:p>
      <w:pPr>
        <w:pStyle w:val="FirstParagraph"/>
      </w:pPr>
      <w:r>
        <w:t xml:space="preserve">The present multiverse analysis aimed to quantify the relative contribution of harmful versus helpful analytical decisions to effect size variation for the association between marital status and cardiovascular events, based on the many-analyst project by</w:t>
      </w:r>
      <w:r>
        <w:t xml:space="preserve"> </w:t>
      </w:r>
      <w:r>
        <w:t xml:space="preserve">Kowall et al. (2025)</w:t>
      </w:r>
      <w:r>
        <w:t xml:space="preserve">. Across 4,913 specifications, risk ratio estimates ranged from 0.71 to 1.68, with 79.6% of the universes yielding significant results. Within the same multiverse, marriage was found to be both significantly protective and significantly harmful for cardiovascular health depending on the analytical specification. This underscores that different analytical pathways can lead to substantially different conclusions—a pattern consistent with findings from earlier many-analyst projects</w:t>
      </w:r>
      <w:r>
        <w:t xml:space="preserve"> </w:t>
      </w:r>
      <w:r>
        <w:t xml:space="preserve">(Bastiaansen et al., 2020; Botvinik-Nezer et al., 2020; Breznau et al., 2022; Gould et al., 2025; Hoogeveen, Sarafoglou, Aczel, et al., 2023; Kowall et al., 2025; Silberzahn et al., 2018)</w:t>
      </w:r>
      <w:r>
        <w:t xml:space="preserve">.</w:t>
      </w:r>
    </w:p>
    <w:p>
      <w:pPr>
        <w:pStyle w:val="BodyText"/>
      </w:pPr>
      <w:r>
        <w:t xml:space="preserve">Although the Anderson-Darling tests showed statistically significant distributional differences for all decisions, indicating they were all sensitive, statistical model and adjustment set emerged as the most prominent drivers of variation in RR distributions. All other decisions, despite reaching statistical significance, showed minimal visual distributional differences across options, suggesting their impact on effect size variability was small. This was reinforced by the descriptive plots and T.AD values, which suggest that only statistical model and adjustment set had meaningful impact. When applying the AB-framework classification, both a harmful source—statistical model—and a helpful source—adjustment set—contributed meaningfully to effect size variability.</w:t>
      </w:r>
    </w:p>
    <w:bookmarkStart w:id="41" w:name="Xf1c07b4379310776fc3665e533c745c0aabae34"/>
    <w:p>
      <w:pPr>
        <w:pStyle w:val="Heading2"/>
      </w:pPr>
      <w:r>
        <w:t xml:space="preserve">A Closer Examination of Helpful Sources of Variation</w:t>
      </w:r>
    </w:p>
    <w:p>
      <w:pPr>
        <w:pStyle w:val="FirstParagraph"/>
      </w:pPr>
      <w:r>
        <w:t xml:space="preserve">A closer examination of adjustment set sensitivity using Kolmogorov-Smirnov tests showed that age, sex, and not including any confounders were the most important drivers of distributional differences in the results. Consistent with the T.AD values, the pattern observed for the no-confounders condition (</w:t>
      </w:r>
      <w:r>
        <w:rPr>
          <w:b/>
          <w:bCs/>
        </w:rPr>
        <w:t xml:space="preserve">?@fig-dens-ADJ</w:t>
      </w:r>
      <w:r>
        <w:t xml:space="preserve"> </w:t>
      </w:r>
      <w:r>
        <w:t xml:space="preserve">when None was included) closely resembled that of the age-exclusion condition, suggesting that age was the most important variable affecting the decision sensitivity of the adjustment set. When no confounders were included, risk ratio estimates were lower, and when any confounder was included, the estimates shifted towards higher values. Age and sex showed opposing patterns: controlling for age attenuated the protective effect of marriage, while controlling for sex strengthened it.</w:t>
      </w:r>
    </w:p>
    <w:p>
      <w:pPr>
        <w:pStyle w:val="BodyText"/>
      </w:pPr>
      <w:r>
        <w:t xml:space="preserve">A possible explanation for this pattern lies in the distribution of these variables over the groups in the underlying data (see</w:t>
      </w:r>
      <w:r>
        <w:t xml:space="preserve"> </w:t>
      </w:r>
      <w:r>
        <w:rPr>
          <w:b/>
          <w:bCs/>
        </w:rPr>
        <w:t xml:space="preserve">?@tbl-DescSHARE</w:t>
      </w:r>
      <w:r>
        <w:t xml:space="preserve">). Unmarried individuals were on average four years older (69 versus 65) and predominantly female (68.5% versus 50.8%), meaning the married and unmarried group differed systematically in age and sex. The younger average age of married individuals may have inflated the apparent protective effect of marriage, while the relatively higher proportion of males in this group may have attenuated it, given that men have greater cardiovascular risk</w:t>
      </w:r>
      <w:r>
        <w:t xml:space="preserve"> </w:t>
      </w:r>
      <w:r>
        <w:t xml:space="preserve">(Pana et al., 2024)</w:t>
      </w:r>
      <w:r>
        <w:t xml:space="preserve">. From a causal inference perspective, the inclusion of covariates shifts the estimation from a total effect to a direct effect</w:t>
      </w:r>
      <w:r>
        <w:t xml:space="preserve"> </w:t>
      </w:r>
      <w:r>
        <w:t xml:space="preserve">(Rohrer, 2018)</w:t>
      </w:r>
      <w:r>
        <w:t xml:space="preserve">. Adjusting for age, for example, estimates the effect of marriage among people of the same age. Without adjustment, the estimated effect of marriage on cardiovascular events reflects not only the direct effect of marriage itself, but also compositional differences between groups. This is a good example of how selecting different covariates can result in different questions being answered</w:t>
      </w:r>
      <w:r>
        <w:t xml:space="preserve"> </w:t>
      </w:r>
      <w:r>
        <w:t xml:space="preserve">(Simonsohn et al., 2015)</w:t>
      </w:r>
      <w:r>
        <w:t xml:space="preserve">. The observed sensitivity to age and sex therefore reflects a genuine difference in what is being estimated, and not arbitrary noise—the kind of variation the AB-framework would characterise as helpful</w:t>
      </w:r>
      <w:r>
        <w:t xml:space="preserve"> </w:t>
      </w:r>
      <w:r>
        <w:t xml:space="preserve">(Auspurg &amp; Brüderl, 2024)</w:t>
      </w:r>
      <w:r>
        <w:t xml:space="preserve">.</w:t>
      </w:r>
    </w:p>
    <w:p>
      <w:pPr>
        <w:pStyle w:val="BodyText"/>
      </w:pPr>
      <w:r>
        <w:t xml:space="preserve">In contrast to the adjustment set, none of the other helpful sources of variation meaningfully contributed to effect size differences. Outcome variable choice had little influence on the distribution, with the exception of</w:t>
      </w:r>
      <w:r>
        <w:t xml:space="preserve"> </w:t>
      </w:r>
      <w:r>
        <w:t xml:space="preserve">“age at event”</w:t>
      </w:r>
      <w:r>
        <w:t xml:space="preserve"> </w:t>
      </w:r>
      <w:r>
        <w:t xml:space="preserve">and</w:t>
      </w:r>
      <w:r>
        <w:t xml:space="preserve"> </w:t>
      </w:r>
      <w:r>
        <w:t xml:space="preserve">“event ever”</w:t>
      </w:r>
      <w:r>
        <w:t xml:space="preserve"> </w:t>
      </w:r>
      <w:r>
        <w:t xml:space="preserve">combined with Cox models. However, this pattern more likely reflects the sensitivity of the statistical model than the outcome operationalisation, given that these outcomes were the only ones compatible with Cox and the higher estimates did not occur with other models (see</w:t>
      </w:r>
      <w:r>
        <w:t xml:space="preserve"> </w:t>
      </w:r>
      <w:r>
        <w:rPr>
          <w:b/>
          <w:bCs/>
        </w:rPr>
        <w:t xml:space="preserve">?@fig-spec-curve</w:t>
      </w:r>
      <w:r>
        <w:t xml:space="preserve">). The insensitivity to outcome choice may be explained by the fact that all outcomes measure the same underlying construct and are therefore expected to be highly correlated and interchangeable, such that different operationalisations should yield comparable effect sizes—which is consistent with the pattern observed here</w:t>
      </w:r>
      <w:r>
        <w:t xml:space="preserve"> </w:t>
      </w:r>
      <w:r>
        <w:t xml:space="preserve">(</w:t>
      </w:r>
      <w:r>
        <w:rPr>
          <w:b/>
          <w:bCs/>
        </w:rPr>
        <w:t xml:space="preserve">avila_critical_2015?</w:t>
      </w:r>
      <w:r>
        <w:t xml:space="preserve">)</w:t>
      </w:r>
      <w:r>
        <w:t xml:space="preserve">. Exclusion criteria similarly showed little influence, which might be explained by the fact that some removed only a small proportion of participants, and they were all distributed roughly equally across groups (</w:t>
      </w:r>
      <w:r>
        <w:rPr>
          <w:b/>
          <w:bCs/>
        </w:rPr>
        <w:t xml:space="preserve">?@tbl-DescSHARE</w:t>
      </w:r>
      <w:r>
        <w:t xml:space="preserve">). It is less clear why data type did not considerably influence the results, and future work should examine this more closely.</w:t>
      </w:r>
    </w:p>
    <w:bookmarkEnd w:id="41"/>
    <w:bookmarkStart w:id="42" w:name="X3473cdd64607958dae2118cc86f128800a6e1b1"/>
    <w:p>
      <w:pPr>
        <w:pStyle w:val="Heading2"/>
      </w:pPr>
      <w:r>
        <w:t xml:space="preserve">A Closer Examination of Harmful Sources of Variation</w:t>
      </w:r>
    </w:p>
    <w:p>
      <w:pPr>
        <w:pStyle w:val="FirstParagraph"/>
      </w:pPr>
      <w:r>
        <w:t xml:space="preserve">When looking at the harmful decisions, statistical models were the most important drivers of variation in the results. Especially Cox and log-binomial models resulted in visually different distributions of risk ratios (see</w:t>
      </w:r>
      <w:r>
        <w:t xml:space="preserve"> </w:t>
      </w:r>
      <w:r>
        <w:rPr>
          <w:b/>
          <w:bCs/>
        </w:rPr>
        <w:t xml:space="preserve">?@fig-dens-plot</w:t>
      </w:r>
      <w:r>
        <w:t xml:space="preserve">). It is important to note that when setting up the multiverse, it was evident that the choice of statistical models was not an independent decision. For example, only three out of seven outcome operationalisations contained time-to-event data, and only two out of four data types were compatible with Cox models. Choosing this statistical model therefore implicitly constrained other facets of the analysis. Crucially, even after conversion to risk ratios, Cox models consistently yielded substantially higher estimates than other modelling approaches, although these were often non-significant. This suggests that model assumptions can even fundamentally alter the conclusion.</w:t>
      </w:r>
    </w:p>
    <w:p>
      <w:pPr>
        <w:pStyle w:val="BodyText"/>
      </w:pPr>
      <w:r>
        <w:t xml:space="preserve">Additionally, 1,102 log-binomial models failed to converge—whereas only 232 were successful. Non-convergence occurred most often when the adjustment sets increased in size, which connects to a known limitation of the model</w:t>
      </w:r>
      <w:r>
        <w:t xml:space="preserve"> </w:t>
      </w:r>
      <w:r>
        <w:t xml:space="preserve">(Zhu et al., 2024)</w:t>
      </w:r>
      <w:r>
        <w:t xml:space="preserve">. Log-binomial models restrict predicted disease probabilities to lie between zero and one, which in turn bounds the values the regression coefficients can take</w:t>
      </w:r>
      <w:r>
        <w:t xml:space="preserve"> </w:t>
      </w:r>
      <w:r>
        <w:t xml:space="preserve">(Williamson et al., 2013)</w:t>
      </w:r>
      <w:r>
        <w:t xml:space="preserve">. Convergence failure arises when the maximum likelihood solution sits on the boundary of the parameter space, when at least one combination of covariates results in an estimated probability of exactly one</w:t>
      </w:r>
      <w:r>
        <w:t xml:space="preserve"> </w:t>
      </w:r>
      <w:r>
        <w:t xml:space="preserve">(Zhu et al., 2024)</w:t>
      </w:r>
      <w:r>
        <w:t xml:space="preserve">. This may become more likely as adjustment sets grow, since larger sets may be more likely to produce covariate combinations that hit this boundary. Notably, convergence behaviour for log-binomial models may be software-specific</w:t>
      </w:r>
      <w:r>
        <w:t xml:space="preserve"> </w:t>
      </w:r>
      <w:r>
        <w:t xml:space="preserve">(Williamson et al., 2013)</w:t>
      </w:r>
      <w:r>
        <w:t xml:space="preserve">. In the present study, all analyses were conducted in R, so this was not accounted for, meaning that some of the observed non-convergence may reflect software choices rather than properties of the model itself.</w:t>
      </w:r>
    </w:p>
    <w:p>
      <w:pPr>
        <w:pStyle w:val="BodyText"/>
      </w:pPr>
      <w:r>
        <w:t xml:space="preserve">Choosing a log-binomial model is therefore not an independent analytical decision, as its convergence depends at least partly on size of the adjustment set. A similar dependency arises with GEE models, which cannot handle missing data and therefore force an explicit decision about missingness, whereas other models default to complete-case analysis when nothing is specified. This means that model choice in this case again requires choices elsewhere in the analytical pathway. Importantly, choices regarding missing data in itself can also have implications that go beyond arbitrary noise. If data are not missing at random, listwise deletion could result in not including a subpopulation with a certain characteristic in the analysis. Moreover, when confounders are missing not at random, causal effects are not identifiable</w:t>
      </w:r>
      <w:r>
        <w:t xml:space="preserve"> </w:t>
      </w:r>
      <w:r>
        <w:t xml:space="preserve">(Yang et al., 2019)</w:t>
      </w:r>
      <w:r>
        <w:t xml:space="preserve">.</w:t>
      </w:r>
    </w:p>
    <w:p>
      <w:pPr>
        <w:pStyle w:val="BodyText"/>
      </w:pPr>
      <w:r>
        <w:t xml:space="preserve">Taken together, these examples reveal a fundamental limitation of the AB-framework: analytical decisions do not exist in isolation, so categorising them as such is problematic. Decisions about statistical models are entangled with data structure requirements, missing data handling and variable operationalisation. This means that many harmful decisions may in fact carry substantive assumptions that cannot be separated from potential arbitrary variation the framework was designed to identify.</w:t>
      </w:r>
    </w:p>
    <w:bookmarkEnd w:id="42"/>
    <w:bookmarkStart w:id="43" w:name="Xa0faf0e763bbbe8a1c9ffdff10fbb417c4e52b5"/>
    <w:p>
      <w:pPr>
        <w:pStyle w:val="Heading2"/>
      </w:pPr>
      <w:r>
        <w:t xml:space="preserve">Comparison With Original Many-Analyst Study</w:t>
      </w:r>
    </w:p>
    <w:p>
      <w:pPr>
        <w:pStyle w:val="FirstParagraph"/>
      </w:pPr>
      <w:r>
        <w:t xml:space="preserve">The range of effect sizes found in this study was broadly in line with that of the original many-analyst project by</w:t>
      </w:r>
      <w:r>
        <w:t xml:space="preserve"> </w:t>
      </w:r>
      <w:r>
        <w:t xml:space="preserve">Kowall et al. (2025)</w:t>
      </w:r>
      <w:r>
        <w:t xml:space="preserve">, where effect sizes ranged from 0.72 (OR) to 1.31 (HR). After applying the risk ratio conversions used in the present study, the original effect sizes would correspond to a range of approximately 0.85 to 1.21, indicating the original study captured a slightly narrower range than the present multiverse. This is not surprising, as the original study only included sixteen analyses, compared to 4,913 analyses.</w:t>
      </w:r>
    </w:p>
    <w:p>
      <w:pPr>
        <w:pStyle w:val="BodyText"/>
      </w:pPr>
      <w:r>
        <w:t xml:space="preserve">Despite the overlap in effect size ranges, the two studies diverged in identifying the main sources of variability. In contrast to the current study,</w:t>
      </w:r>
      <w:r>
        <w:t xml:space="preserve"> </w:t>
      </w:r>
      <w:r>
        <w:t xml:space="preserve">Kowall et al. (2025)</w:t>
      </w:r>
      <w:r>
        <w:t xml:space="preserve"> </w:t>
      </w:r>
      <w:r>
        <w:t xml:space="preserve">identified the data type (cross-sectional versus longitudinal) as the main source of variation, with statistical model and the adjustment set playing only a minor role—the opposite of the present findings. This inconsistency could reflect a fundamental difference between the two approaches. Whereas</w:t>
      </w:r>
      <w:r>
        <w:t xml:space="preserve"> </w:t>
      </w:r>
      <w:r>
        <w:t xml:space="preserve">Kowall et al. (2025)</w:t>
      </w:r>
      <w:r>
        <w:t xml:space="preserve"> </w:t>
      </w:r>
      <w:r>
        <w:t xml:space="preserve">varied one decision at a time under a fixed configuration, this multiverse analysis combined all decisions simultaneously and captured their combined influence across the entire decision space.</w:t>
      </w:r>
    </w:p>
    <w:p>
      <w:pPr>
        <w:pStyle w:val="BodyText"/>
      </w:pPr>
      <w:r>
        <w:t xml:space="preserve">Another potential explanation for the discrepancy between studies is the finding that adjustment set sensitivity was driven primarily by age and sex. In</w:t>
      </w:r>
      <w:r>
        <w:t xml:space="preserve"> </w:t>
      </w:r>
      <w:r>
        <w:t xml:space="preserve">Kowall et al. (2025)</w:t>
      </w:r>
      <w:r>
        <w:t xml:space="preserve">, twelve out of sixteen researchers included both age and sex in their analyses, and the additional sensitivity analyses also held these variables constant. Most researchers in the original study thus estimated the direct effect of marriage on cardiovascular events, leaving little data available about the effect of not including these confounders. This may potentially have attenuated the observed sensitivity to adjustment set decisions.</w:t>
      </w:r>
    </w:p>
    <w:p>
      <w:pPr>
        <w:pStyle w:val="BodyText"/>
      </w:pPr>
      <w:r>
        <w:t xml:space="preserve">Rather than contradicting the original study, the present findings extend it. When analytical decisions are varied jointly, rather than in isolation, this can provide a different assessment of decision sensitivity.</w:t>
      </w:r>
    </w:p>
    <w:bookmarkEnd w:id="43"/>
    <w:bookmarkStart w:id="44" w:name="limitations"/>
    <w:p>
      <w:pPr>
        <w:pStyle w:val="Heading2"/>
      </w:pPr>
      <w:r>
        <w:t xml:space="preserve">Limitations</w:t>
      </w:r>
    </w:p>
    <w:p>
      <w:pPr>
        <w:pStyle w:val="FirstParagraph"/>
      </w:pPr>
      <w:r>
        <w:t xml:space="preserve">A first limitation concerns the inferential method used to assess decision sensitivity. The k-sample Anderson-Darling test proved to be sensitive to sample size . With 4,913 specifications, even minimal distributional differences resulted in significant results. The universal significance across all decisions therefore likely reflects the number of specifications rather than substantive distributional differences. While the AD test yielded a useful measure of between-decision sensitivity, combining it with descriptive methods rather than relying on p-values alone would provide a more informative picture of decision sensitivity. Moreover, future research should explore inferential methods that are less susceptible to the large sample sizes characteristic of multiverse analyses, and explicitly account for the dependency structure between decisions and specifications.</w:t>
      </w:r>
    </w:p>
    <w:p>
      <w:pPr>
        <w:pStyle w:val="BodyText"/>
      </w:pPr>
      <w:r>
        <w:t xml:space="preserve">A second limitation is the generalisability of the results of the multiverse study. The relative contribution of harmful versus helpful analytical decisions will likely vary across studies, given the wide variety of topics and research questions across many-analyst projects</w:t>
      </w:r>
      <w:r>
        <w:t xml:space="preserve"> </w:t>
      </w:r>
      <w:r>
        <w:t xml:space="preserve">(Gould et al., 2025; Hoogeveen, Sarafoglou, Aczel, et al., 2023; Kowall et al., 2025; Silberzahn et al., 2018)</w:t>
      </w:r>
      <w:r>
        <w:t xml:space="preserve">. It does not seem realistic to expect that the results of this study directly apply to other projects. The decisions that proved to be most influential here—statistical model and adjustment set—are not necessarily the main sources of variation in other contexts, or even in the same context when decisions are varied one at a time rather than jointly, as the comparison with</w:t>
      </w:r>
      <w:r>
        <w:t xml:space="preserve"> </w:t>
      </w:r>
      <w:r>
        <w:t xml:space="preserve">Kowall et al. (2025)</w:t>
      </w:r>
      <w:r>
        <w:t xml:space="preserve"> </w:t>
      </w:r>
      <w:r>
        <w:t xml:space="preserve">illustrates. Replicating this multiverse analysis across different many-analyst projects, preferably with a wide range of research questions and data structures, might reveal more general patterns in decision sensitivity. However, assuming that such patterns exist may perhaps already be too bold.</w:t>
      </w:r>
    </w:p>
    <w:p>
      <w:pPr>
        <w:pStyle w:val="BodyText"/>
      </w:pPr>
      <w:r>
        <w:t xml:space="preserve">Another limitation is the conversion of effect sizes. While this has benefits for comparability across statistical models, the converged risk ratios are always an approximation. According to</w:t>
      </w:r>
      <w:r>
        <w:t xml:space="preserve"> </w:t>
      </w:r>
      <w:r>
        <w:t xml:space="preserve">VanderWeele (2020)</w:t>
      </w:r>
      <w:r>
        <w:t xml:space="preserve">, the square root transformation of the odds ratio gives a reasonably good approximation and differs from the true risk ratio by at most 25%, when the prevalence lies within 20%–80%. In case of hazard ratios, the conversion will place the value within 16% of the true risk ratios when the prevalence lies within 20%–80%, and 45% of the risk ratio if the prevalence is between 10%–90%, which is the case in the present study. This highlights that even though converting effect sizes can have benefits for inter-model comparisons, at the same time this may have introduced, or reduced, arbitrary variance in the results.</w:t>
      </w:r>
    </w:p>
    <w:bookmarkEnd w:id="44"/>
    <w:bookmarkStart w:id="45" w:name="future-recommendations"/>
    <w:p>
      <w:pPr>
        <w:pStyle w:val="Heading2"/>
      </w:pPr>
      <w:r>
        <w:t xml:space="preserve">Future Recommendations</w:t>
      </w:r>
    </w:p>
    <w:p>
      <w:pPr>
        <w:pStyle w:val="FirstParagraph"/>
      </w:pPr>
      <w:r>
        <w:t xml:space="preserve">The current findings raise a broader question: what should analysts do when analytical choices can fundamentally alter the conclusions of their research? Multiverse analysis cannot determine which specification is</w:t>
      </w:r>
      <w:r>
        <w:t xml:space="preserve"> </w:t>
      </w:r>
      <w:r>
        <w:t xml:space="preserve">“correct”</w:t>
      </w:r>
      <w:r>
        <w:t xml:space="preserve">, and the present study showed that substantial variability in effect estimates was found even within multiple defensible analytical paths. To ensure that the effects of analytical variability can be assessed properly, it is recommended to perform multiverse analysis, not only as a measure of robustness, but also as a transparent representation of the space of plausible conclusions</w:t>
      </w:r>
      <w:r>
        <w:t xml:space="preserve"> </w:t>
      </w:r>
      <w:r>
        <w:t xml:space="preserve">(Botvinik-Nezer et al., 2020)</w:t>
      </w:r>
      <w:r>
        <w:t xml:space="preserve">.</w:t>
      </w:r>
    </w:p>
    <w:p>
      <w:pPr>
        <w:pStyle w:val="BodyText"/>
      </w:pPr>
      <w:r>
        <w:t xml:space="preserve">Future research should explore inferential methods to quantify decision sensitivity that are more suitable and robust to the large samples in multiverse analysis. Additionally, extending these methods to allow the derivation of a unique result that integrates all uncertain decisions remains an open area of research</w:t>
      </w:r>
      <w:r>
        <w:t xml:space="preserve"> </w:t>
      </w:r>
      <w:r>
        <w:t xml:space="preserve">(Aczel et al., 2021)</w:t>
      </w:r>
      <w:r>
        <w:t xml:space="preserve">. In addition to developing new methods, researchers should emphasize ground their decisions in theory and causal reasoning rather than idiosyncratic choices. Notably, only three of the sixteen teams in</w:t>
      </w:r>
      <w:r>
        <w:t xml:space="preserve"> </w:t>
      </w:r>
      <w:r>
        <w:t xml:space="preserve">Kowall et al. (2025)</w:t>
      </w:r>
      <w:r>
        <w:t xml:space="preserve"> </w:t>
      </w:r>
      <w:r>
        <w:t xml:space="preserve">used directed acyclic graphs (DAGs), and even those differed significantly. Specifying analytical decisions in pre-registrations, constructing DAGs before starting the analysis, and making causal assumptions explicit could help reduce researchers’ unknown degrees of freedom</w:t>
      </w:r>
      <w:r>
        <w:t xml:space="preserve"> </w:t>
      </w:r>
      <w:r>
        <w:t xml:space="preserve">(Botvinik-Nezer et al., 2020)</w:t>
      </w:r>
      <w:r>
        <w:t xml:space="preserve">. In combination with the openly sharing data and code, this would not eliminate analytical variability, but would ensure that its effects can be assessed in a transparent manner to meaningfully interpret variation in the results and associated substantive conclusions.</w:t>
      </w:r>
    </w:p>
    <w:bookmarkEnd w:id="45"/>
    <w:bookmarkEnd w:id="46"/>
    <w:bookmarkStart w:id="47" w:name="conclusion"/>
    <w:p>
      <w:pPr>
        <w:pStyle w:val="Heading1"/>
      </w:pPr>
      <w:r>
        <w:t xml:space="preserve">Conclusion</w:t>
      </w:r>
    </w:p>
    <w:bookmarkEnd w:id="47"/>
    <w:bookmarkStart w:id="48" w:name="ai-statement"/>
    <w:p>
      <w:pPr>
        <w:pStyle w:val="Heading1"/>
      </w:pPr>
      <w:r>
        <w:t xml:space="preserve">AI Statement</w:t>
      </w:r>
    </w:p>
    <w:p>
      <w:pPr>
        <w:pStyle w:val="FirstParagraph"/>
      </w:pPr>
      <w:r>
        <w:t xml:space="preserve">During this thesis, generative AI (Claude Sonnet 4.6, Claude Opus 4.6, Claude Opus 4.7) was used for text editing/improving grammar and assistance/debugging during coding.</w:t>
      </w:r>
    </w:p>
    <w:p>
      <w:r>
        <w:br w:type="page"/>
      </w:r>
    </w:p>
    <w:bookmarkEnd w:id="48"/>
    <w:bookmarkStart w:id="109" w:name="references"/>
    <w:p>
      <w:pPr>
        <w:pStyle w:val="Heading1"/>
      </w:pPr>
      <w:r>
        <w:t xml:space="preserve">References</w:t>
      </w:r>
    </w:p>
    <w:bookmarkStart w:id="108" w:name="refs"/>
    <w:bookmarkStart w:id="50" w:name="ref-aczel_consensus-based_2021"/>
    <w:p>
      <w:pPr>
        <w:pStyle w:val="Bibliography"/>
      </w:pPr>
      <w:r>
        <w:t xml:space="preserve">Aczel, B., Szaszi, B., Nilsonne, G., Van Den Akker, O. R., Albers, C. J., Van Assen, M. A., Bastiaansen, J. A., Benjamin, D., Boehm, U., Botvinik-Nezer, R., Bringmann, L. F., Busch, N. A., Caruyer, E., Cataldo, A. M., Cowan, N., Delios, A., Van Dongen, N. N., Donkin, C., Van Doorn, J. B., … Wagenmakers, E.-J. (2021). Consensus-based guidance for conducting and reporting multi-analyst studies.</w:t>
      </w:r>
      <w:r>
        <w:t xml:space="preserve"> </w:t>
      </w:r>
      <w:r>
        <w:rPr>
          <w:i/>
          <w:iCs/>
        </w:rPr>
        <w:t xml:space="preserve">eLife</w:t>
      </w:r>
      <w:r>
        <w:t xml:space="preserve">,</w:t>
      </w:r>
      <w:r>
        <w:t xml:space="preserve"> </w:t>
      </w:r>
      <w:r>
        <w:rPr>
          <w:i/>
          <w:iCs/>
        </w:rPr>
        <w:t xml:space="preserve">10</w:t>
      </w:r>
      <w:r>
        <w:t xml:space="preserve">, e72185.</w:t>
      </w:r>
      <w:r>
        <w:t xml:space="preserve"> </w:t>
      </w:r>
      <w:hyperlink r:id="rId49">
        <w:r>
          <w:rPr>
            <w:rStyle w:val="Hyperlink"/>
          </w:rPr>
          <w:t xml:space="preserve">https://doi.org/10.7554/eLife.72185</w:t>
        </w:r>
      </w:hyperlink>
    </w:p>
    <w:bookmarkEnd w:id="50"/>
    <w:bookmarkStart w:id="52" w:name="ref-auspurg_toward_2024"/>
    <w:p>
      <w:pPr>
        <w:pStyle w:val="Bibliography"/>
      </w:pPr>
      <w:r>
        <w:t xml:space="preserve">Auspurg, K., &amp; Brüderl, J. (2024). Toward a more credible assessment of the credibility of science by many-analyst studies.</w:t>
      </w:r>
      <w:r>
        <w:t xml:space="preserve"> </w:t>
      </w:r>
      <w:r>
        <w:rPr>
          <w:i/>
          <w:iCs/>
        </w:rPr>
        <w:t xml:space="preserve">Proceedings of the National Academy of Sciences</w:t>
      </w:r>
      <w:r>
        <w:t xml:space="preserve">,</w:t>
      </w:r>
      <w:r>
        <w:t xml:space="preserve"> </w:t>
      </w:r>
      <w:r>
        <w:rPr>
          <w:i/>
          <w:iCs/>
        </w:rPr>
        <w:t xml:space="preserve">121</w:t>
      </w:r>
      <w:r>
        <w:t xml:space="preserve">(38), e2404035121.</w:t>
      </w:r>
      <w:r>
        <w:t xml:space="preserve"> </w:t>
      </w:r>
      <w:hyperlink r:id="rId51">
        <w:r>
          <w:rPr>
            <w:rStyle w:val="Hyperlink"/>
          </w:rPr>
          <w:t xml:space="preserve">https://doi.org/10.1073/pnas.2404035121</w:t>
        </w:r>
      </w:hyperlink>
    </w:p>
    <w:bookmarkEnd w:id="52"/>
    <w:bookmarkStart w:id="54" w:name="ref-banks_editorial_2016"/>
    <w:p>
      <w:pPr>
        <w:pStyle w:val="Bibliography"/>
      </w:pPr>
      <w:r>
        <w:t xml:space="preserve">Banks, G. C., Rogelberg, S. G., Woznyj, H. M., Landis, R. S., &amp; Rupp, D. E. (2016). Editorial:</w:t>
      </w:r>
      <w:r>
        <w:t xml:space="preserve"> </w:t>
      </w:r>
      <w:r>
        <w:t xml:space="preserve">Evidence</w:t>
      </w:r>
      <w:r>
        <w:t xml:space="preserve"> </w:t>
      </w:r>
      <w:r>
        <w:t xml:space="preserve">on</w:t>
      </w:r>
      <w:r>
        <w:t xml:space="preserve"> </w:t>
      </w:r>
      <w:r>
        <w:t xml:space="preserve">Questionable</w:t>
      </w:r>
      <w:r>
        <w:t xml:space="preserve"> </w:t>
      </w:r>
      <w:r>
        <w:t xml:space="preserve">Research</w:t>
      </w:r>
      <w:r>
        <w:t xml:space="preserve"> </w:t>
      </w:r>
      <w:r>
        <w:t xml:space="preserve">Practices</w:t>
      </w:r>
      <w:r>
        <w:t xml:space="preserve">:</w:t>
      </w:r>
      <w:r>
        <w:t xml:space="preserve"> </w:t>
      </w:r>
      <w:r>
        <w:t xml:space="preserve">The</w:t>
      </w:r>
      <w:r>
        <w:t xml:space="preserve"> </w:t>
      </w:r>
      <w:r>
        <w:t xml:space="preserve">Good</w:t>
      </w:r>
      <w:r>
        <w:t xml:space="preserve">, the</w:t>
      </w:r>
      <w:r>
        <w:t xml:space="preserve"> </w:t>
      </w:r>
      <w:r>
        <w:t xml:space="preserve">Bad</w:t>
      </w:r>
      <w:r>
        <w:t xml:space="preserve">, and the</w:t>
      </w:r>
      <w:r>
        <w:t xml:space="preserve"> </w:t>
      </w:r>
      <w:r>
        <w:t xml:space="preserve">Ugly</w:t>
      </w:r>
      <w:r>
        <w:t xml:space="preserve">.</w:t>
      </w:r>
      <w:r>
        <w:t xml:space="preserve"> </w:t>
      </w:r>
      <w:r>
        <w:rPr>
          <w:i/>
          <w:iCs/>
        </w:rPr>
        <w:t xml:space="preserve">Journal of Business and Psychology</w:t>
      </w:r>
      <w:r>
        <w:t xml:space="preserve">,</w:t>
      </w:r>
      <w:r>
        <w:t xml:space="preserve"> </w:t>
      </w:r>
      <w:r>
        <w:rPr>
          <w:i/>
          <w:iCs/>
        </w:rPr>
        <w:t xml:space="preserve">31</w:t>
      </w:r>
      <w:r>
        <w:t xml:space="preserve">(3), 323–338.</w:t>
      </w:r>
      <w:r>
        <w:t xml:space="preserve"> </w:t>
      </w:r>
      <w:hyperlink r:id="rId53">
        <w:r>
          <w:rPr>
            <w:rStyle w:val="Hyperlink"/>
          </w:rPr>
          <w:t xml:space="preserve">https://doi.org/10.1007/s10869-016-9456-7</w:t>
        </w:r>
      </w:hyperlink>
    </w:p>
    <w:bookmarkEnd w:id="54"/>
    <w:bookmarkStart w:id="56" w:name="ref-bastiaansen_time_2020"/>
    <w:p>
      <w:pPr>
        <w:pStyle w:val="Bibliography"/>
      </w:pPr>
      <w:r>
        <w:t xml:space="preserve">Bastiaansen, J. A., Kunkels, Y. K., Blaauw, F. J., Boker, S. M., Ceulemans, E., Chen, M., Chow, S.-M., De Jonge, P., Emerencia, A. C., Epskamp, S., Fisher, A. J., Hamaker, E. L., Kuppens, P., Lutz, W., Meyer, M. J., Moulder, R., Oravecz, Z., Riese, H., Rubel, J., … Bringmann, L. F. (2020). Time to get personal?</w:t>
      </w:r>
      <w:r>
        <w:t xml:space="preserve"> </w:t>
      </w:r>
      <w:r>
        <w:t xml:space="preserve">The</w:t>
      </w:r>
      <w:r>
        <w:t xml:space="preserve"> </w:t>
      </w:r>
      <w:r>
        <w:t xml:space="preserve">impact of researchers choices on the selection of treatment targets using the experience sampling methodology.</w:t>
      </w:r>
      <w:r>
        <w:t xml:space="preserve"> </w:t>
      </w:r>
      <w:r>
        <w:rPr>
          <w:i/>
          <w:iCs/>
        </w:rPr>
        <w:t xml:space="preserve">Journal of Psychosomatic Research</w:t>
      </w:r>
      <w:r>
        <w:t xml:space="preserve">,</w:t>
      </w:r>
      <w:r>
        <w:t xml:space="preserve"> </w:t>
      </w:r>
      <w:r>
        <w:rPr>
          <w:i/>
          <w:iCs/>
        </w:rPr>
        <w:t xml:space="preserve">137</w:t>
      </w:r>
      <w:r>
        <w:t xml:space="preserve">, 110211.</w:t>
      </w:r>
      <w:r>
        <w:t xml:space="preserve"> </w:t>
      </w:r>
      <w:hyperlink r:id="rId55">
        <w:r>
          <w:rPr>
            <w:rStyle w:val="Hyperlink"/>
          </w:rPr>
          <w:t xml:space="preserve">https://doi.org/10.1016/j.jpsychores.2020.110211</w:t>
        </w:r>
      </w:hyperlink>
    </w:p>
    <w:bookmarkEnd w:id="56"/>
    <w:bookmarkStart w:id="58" w:name="ref-botvinik-nezer_variability_2020"/>
    <w:p>
      <w:pPr>
        <w:pStyle w:val="Bibliography"/>
      </w:pPr>
      <w:r>
        <w:t xml:space="preserve">Botvinik-Nezer, R., Holzmeister, F., Camerer, C. F., Dreber, A., Huber, J., Johannesson, M., Kirchler, M., Iwanir, R., Mumford, J. A., Adcock, R. A., Avesani, P., Baczkowski, B. M., Bajracharya, A., Bakst, L., Ball, S., Barilari, M., Bault, N., Beaton, D., Beitner, J., … Schonberg, T. (2020). Variability in the analysis of a single neuroimaging dataset by many teams.</w:t>
      </w:r>
      <w:r>
        <w:t xml:space="preserve"> </w:t>
      </w:r>
      <w:r>
        <w:rPr>
          <w:i/>
          <w:iCs/>
        </w:rPr>
        <w:t xml:space="preserve">Nature</w:t>
      </w:r>
      <w:r>
        <w:t xml:space="preserve">,</w:t>
      </w:r>
      <w:r>
        <w:t xml:space="preserve"> </w:t>
      </w:r>
      <w:r>
        <w:rPr>
          <w:i/>
          <w:iCs/>
        </w:rPr>
        <w:t xml:space="preserve">582</w:t>
      </w:r>
      <w:r>
        <w:t xml:space="preserve">(7810), 84–88.</w:t>
      </w:r>
      <w:r>
        <w:t xml:space="preserve"> </w:t>
      </w:r>
      <w:hyperlink r:id="rId57">
        <w:r>
          <w:rPr>
            <w:rStyle w:val="Hyperlink"/>
          </w:rPr>
          <w:t xml:space="preserve">https://doi.org/10.1038/s41586-020-2314-9</w:t>
        </w:r>
      </w:hyperlink>
    </w:p>
    <w:bookmarkEnd w:id="58"/>
    <w:bookmarkStart w:id="60" w:name="ref-breznau_observing_2022"/>
    <w:p>
      <w:pPr>
        <w:pStyle w:val="Bibliography"/>
      </w:pPr>
      <w:r>
        <w:t xml:space="preserve">Breznau, N., Rinke, E. M., Wuttke, A., Nguyen, H. H. V., Adem, M., Adriaans, J., Alvarez-Benjumea, A., Andersen, H. K., Auer, D., Azevedo, F., Bahnsen, O., Balzer, D., Bauer, G., Bauer, P. C., Baumann, M., Baute, S., Benoit, V., Bernauer, J., Berning, C., … Żółtak, T. (2022). Observing many researchers using the same data and hypothesis reveals a hidden universe of uncertainty.</w:t>
      </w:r>
      <w:r>
        <w:t xml:space="preserve"> </w:t>
      </w:r>
      <w:r>
        <w:rPr>
          <w:i/>
          <w:iCs/>
        </w:rPr>
        <w:t xml:space="preserve">Proceedings of the National Academy of Sciences</w:t>
      </w:r>
      <w:r>
        <w:t xml:space="preserve">,</w:t>
      </w:r>
      <w:r>
        <w:t xml:space="preserve"> </w:t>
      </w:r>
      <w:r>
        <w:rPr>
          <w:i/>
          <w:iCs/>
        </w:rPr>
        <w:t xml:space="preserve">119</w:t>
      </w:r>
      <w:r>
        <w:t xml:space="preserve">(44), e2203150119.</w:t>
      </w:r>
      <w:r>
        <w:t xml:space="preserve"> </w:t>
      </w:r>
      <w:hyperlink r:id="rId59">
        <w:r>
          <w:rPr>
            <w:rStyle w:val="Hyperlink"/>
          </w:rPr>
          <w:t xml:space="preserve">https://doi.org/10.1073/pnas.2203150119</w:t>
        </w:r>
      </w:hyperlink>
    </w:p>
    <w:bookmarkEnd w:id="60"/>
    <w:bookmarkStart w:id="62" w:name="ref-bulbulia_workflow_2023"/>
    <w:p>
      <w:pPr>
        <w:pStyle w:val="Bibliography"/>
      </w:pPr>
      <w:r>
        <w:t xml:space="preserve">Bulbulia, J. A. (2023). A workflow for causal inference in cross-cultural psychology.</w:t>
      </w:r>
      <w:r>
        <w:t xml:space="preserve"> </w:t>
      </w:r>
      <w:r>
        <w:rPr>
          <w:i/>
          <w:iCs/>
        </w:rPr>
        <w:t xml:space="preserve">Religion, Brain &amp; Behavior</w:t>
      </w:r>
      <w:r>
        <w:t xml:space="preserve">,</w:t>
      </w:r>
      <w:r>
        <w:t xml:space="preserve"> </w:t>
      </w:r>
      <w:r>
        <w:rPr>
          <w:i/>
          <w:iCs/>
        </w:rPr>
        <w:t xml:space="preserve">13</w:t>
      </w:r>
      <w:r>
        <w:t xml:space="preserve">(3), 291–306.</w:t>
      </w:r>
      <w:r>
        <w:t xml:space="preserve"> </w:t>
      </w:r>
      <w:hyperlink r:id="rId61">
        <w:r>
          <w:rPr>
            <w:rStyle w:val="Hyperlink"/>
          </w:rPr>
          <w:t xml:space="preserve">https://doi.org/10.1080/2153599X.2022.2070245</w:t>
        </w:r>
      </w:hyperlink>
    </w:p>
    <w:bookmarkEnd w:id="62"/>
    <w:bookmarkStart w:id="64" w:name="ref-del_giudice_travelers_2021"/>
    <w:p>
      <w:pPr>
        <w:pStyle w:val="Bibliography"/>
      </w:pPr>
      <w:r>
        <w:t xml:space="preserve">Del Giudice, M., &amp; Gangestad, S. W. (2021). A</w:t>
      </w:r>
      <w:r>
        <w:t xml:space="preserve"> </w:t>
      </w:r>
      <w:r>
        <w:t xml:space="preserve">Traveler</w:t>
      </w:r>
      <w:r>
        <w:t xml:space="preserve">’s</w:t>
      </w:r>
      <w:r>
        <w:t xml:space="preserve"> </w:t>
      </w:r>
      <w:r>
        <w:t xml:space="preserve">Guide</w:t>
      </w:r>
      <w:r>
        <w:t xml:space="preserve"> </w:t>
      </w:r>
      <w:r>
        <w:t xml:space="preserve">to the</w:t>
      </w:r>
      <w:r>
        <w:t xml:space="preserve"> </w:t>
      </w:r>
      <w:r>
        <w:t xml:space="preserve">Multiverse</w:t>
      </w:r>
      <w:r>
        <w:t xml:space="preserve">:</w:t>
      </w:r>
      <w:r>
        <w:t xml:space="preserve"> </w:t>
      </w:r>
      <w:r>
        <w:t xml:space="preserve">Promises</w:t>
      </w:r>
      <w:r>
        <w:t xml:space="preserve">,</w:t>
      </w:r>
      <w:r>
        <w:t xml:space="preserve"> </w:t>
      </w:r>
      <w:r>
        <w:t xml:space="preserve">Pitfalls</w:t>
      </w:r>
      <w:r>
        <w:t xml:space="preserve">, and a</w:t>
      </w:r>
      <w:r>
        <w:t xml:space="preserve"> </w:t>
      </w:r>
      <w:r>
        <w:t xml:space="preserve">Framework</w:t>
      </w:r>
      <w:r>
        <w:t xml:space="preserve"> </w:t>
      </w:r>
      <w:r>
        <w:t xml:space="preserve">for the</w:t>
      </w:r>
      <w:r>
        <w:t xml:space="preserve"> </w:t>
      </w:r>
      <w:r>
        <w:t xml:space="preserve">Evaluation</w:t>
      </w:r>
      <w:r>
        <w:t xml:space="preserve"> </w:t>
      </w:r>
      <w:r>
        <w:t xml:space="preserve">of</w:t>
      </w:r>
      <w:r>
        <w:t xml:space="preserve"> </w:t>
      </w:r>
      <w:r>
        <w:t xml:space="preserve">Analytic</w:t>
      </w:r>
      <w:r>
        <w:t xml:space="preserve"> </w:t>
      </w:r>
      <w:r>
        <w:t xml:space="preserve">Decisions</w:t>
      </w:r>
      <w:r>
        <w:t xml:space="preserve">.</w:t>
      </w:r>
      <w:r>
        <w:t xml:space="preserve"> </w:t>
      </w:r>
      <w:r>
        <w:rPr>
          <w:i/>
          <w:iCs/>
        </w:rPr>
        <w:t xml:space="preserve">Advances in Methods and Practices in Psychological Science</w:t>
      </w:r>
      <w:r>
        <w:t xml:space="preserve">,</w:t>
      </w:r>
      <w:r>
        <w:t xml:space="preserve"> </w:t>
      </w:r>
      <w:r>
        <w:rPr>
          <w:i/>
          <w:iCs/>
        </w:rPr>
        <w:t xml:space="preserve">4</w:t>
      </w:r>
      <w:r>
        <w:t xml:space="preserve">(1), 2515245920954925.</w:t>
      </w:r>
      <w:r>
        <w:t xml:space="preserve"> </w:t>
      </w:r>
      <w:hyperlink r:id="rId63">
        <w:r>
          <w:rPr>
            <w:rStyle w:val="Hyperlink"/>
          </w:rPr>
          <w:t xml:space="preserve">https://doi.org/10.1177/2515245920954925</w:t>
        </w:r>
      </w:hyperlink>
    </w:p>
    <w:bookmarkEnd w:id="64"/>
    <w:bookmarkStart w:id="66" w:name="ref-forbes_supporting_2023"/>
    <w:p>
      <w:pPr>
        <w:pStyle w:val="Bibliography"/>
      </w:pPr>
      <w:r>
        <w:t xml:space="preserve">Forbes, H. J., Travers, J. C., &amp; Johnson, J. V. (2023). Supporting the replication of your research. In</w:t>
      </w:r>
      <w:r>
        <w:t xml:space="preserve"> </w:t>
      </w:r>
      <w:r>
        <w:rPr>
          <w:i/>
          <w:iCs/>
        </w:rPr>
        <w:t xml:space="preserve">Research</w:t>
      </w:r>
      <w:r>
        <w:rPr>
          <w:i/>
          <w:iCs/>
        </w:rPr>
        <w:t xml:space="preserve"> </w:t>
      </w:r>
      <w:r>
        <w:rPr>
          <w:i/>
          <w:iCs/>
        </w:rPr>
        <w:t xml:space="preserve">Ethics</w:t>
      </w:r>
      <w:r>
        <w:rPr>
          <w:i/>
          <w:iCs/>
        </w:rPr>
        <w:t xml:space="preserve"> </w:t>
      </w:r>
      <w:r>
        <w:rPr>
          <w:i/>
          <w:iCs/>
        </w:rPr>
        <w:t xml:space="preserve">in</w:t>
      </w:r>
      <w:r>
        <w:rPr>
          <w:i/>
          <w:iCs/>
        </w:rPr>
        <w:t xml:space="preserve"> </w:t>
      </w:r>
      <w:r>
        <w:rPr>
          <w:i/>
          <w:iCs/>
        </w:rPr>
        <w:t xml:space="preserve">Behavior</w:t>
      </w:r>
      <w:r>
        <w:rPr>
          <w:i/>
          <w:iCs/>
        </w:rPr>
        <w:t xml:space="preserve"> </w:t>
      </w:r>
      <w:r>
        <w:rPr>
          <w:i/>
          <w:iCs/>
        </w:rPr>
        <w:t xml:space="preserve">Analysis</w:t>
      </w:r>
      <w:r>
        <w:t xml:space="preserve"> </w:t>
      </w:r>
      <w:r>
        <w:t xml:space="preserve">(pp. 237–262). Academic Press.</w:t>
      </w:r>
      <w:r>
        <w:t xml:space="preserve"> </w:t>
      </w:r>
      <w:hyperlink r:id="rId65">
        <w:r>
          <w:rPr>
            <w:rStyle w:val="Hyperlink"/>
          </w:rPr>
          <w:t xml:space="preserve">https://doi.org/10.1016/B978-0-323-90969-3.00003-7</w:t>
        </w:r>
      </w:hyperlink>
    </w:p>
    <w:bookmarkEnd w:id="66"/>
    <w:bookmarkStart w:id="68" w:name="ref-gould_same_2025"/>
    <w:p>
      <w:pPr>
        <w:pStyle w:val="Bibliography"/>
      </w:pPr>
      <w:r>
        <w:t xml:space="preserve">Gould, E., Fraser, H. S., Parker, T. H., Nakagawa, S., Griffith, S. C., Vesk, P. A., Fidler, F., Hamilton, D. G., Abbey-Lee, R. N., Abbott, J. K., Aguirre, L. A., Alcaraz, C., Aloni, I., Altschul, D., Arekar, K., Atkins, J. W., Atkinson, J., Baker, C. M., Barrett, M., … Zitomer, R. A. (2025). Same data, different analysts: Variation in effect sizes due to analytical decisions in ecology and evolutionary biology.</w:t>
      </w:r>
      <w:r>
        <w:t xml:space="preserve"> </w:t>
      </w:r>
      <w:r>
        <w:rPr>
          <w:i/>
          <w:iCs/>
        </w:rPr>
        <w:t xml:space="preserve">BMC Biology</w:t>
      </w:r>
      <w:r>
        <w:t xml:space="preserve">,</w:t>
      </w:r>
      <w:r>
        <w:t xml:space="preserve"> </w:t>
      </w:r>
      <w:r>
        <w:rPr>
          <w:i/>
          <w:iCs/>
        </w:rPr>
        <w:t xml:space="preserve">23</w:t>
      </w:r>
      <w:r>
        <w:t xml:space="preserve">(1), 35.</w:t>
      </w:r>
      <w:r>
        <w:t xml:space="preserve"> </w:t>
      </w:r>
      <w:hyperlink r:id="rId67">
        <w:r>
          <w:rPr>
            <w:rStyle w:val="Hyperlink"/>
          </w:rPr>
          <w:t xml:space="preserve">https://doi.org/10.1186/s12915-024-02101-x</w:t>
        </w:r>
      </w:hyperlink>
    </w:p>
    <w:bookmarkEnd w:id="68"/>
    <w:bookmarkStart w:id="70" w:name="ref-hoogeveen_many-analysts_2023"/>
    <w:p>
      <w:pPr>
        <w:pStyle w:val="Bibliography"/>
      </w:pPr>
      <w:r>
        <w:t xml:space="preserve">Hoogeveen, S., Sarafoglou, A., Aczel, B., Aditya, Y., Alayan, A. J., Allen, P. J., Altay, S., Alzahawi, S., Amir, Y., Anthony, F.-V., Kwame Appiah, O., Atkinson, Q. D., Baimel, A., Balkaya-Ince, M., Balsamo, M., Banker, S., Bartoš, F., Becerra, M., Beffara, B., … Wagenmakers, E.-J. (2023). A many-analysts approach to the relation between religiosity and well-being.</w:t>
      </w:r>
      <w:r>
        <w:t xml:space="preserve"> </w:t>
      </w:r>
      <w:r>
        <w:rPr>
          <w:i/>
          <w:iCs/>
        </w:rPr>
        <w:t xml:space="preserve">Religion, Brain &amp; Behavior</w:t>
      </w:r>
      <w:r>
        <w:t xml:space="preserve">,</w:t>
      </w:r>
      <w:r>
        <w:t xml:space="preserve"> </w:t>
      </w:r>
      <w:r>
        <w:rPr>
          <w:i/>
          <w:iCs/>
        </w:rPr>
        <w:t xml:space="preserve">13</w:t>
      </w:r>
      <w:r>
        <w:t xml:space="preserve">(3), 237–283.</w:t>
      </w:r>
      <w:r>
        <w:t xml:space="preserve"> </w:t>
      </w:r>
      <w:hyperlink r:id="rId69">
        <w:r>
          <w:rPr>
            <w:rStyle w:val="Hyperlink"/>
          </w:rPr>
          <w:t xml:space="preserve">https://doi.org/10.1080/2153599X.2022.2070255</w:t>
        </w:r>
      </w:hyperlink>
    </w:p>
    <w:bookmarkEnd w:id="70"/>
    <w:bookmarkStart w:id="72" w:name="ref-hoogeveen_many-analysts_2023-1"/>
    <w:p>
      <w:pPr>
        <w:pStyle w:val="Bibliography"/>
      </w:pPr>
      <w:r>
        <w:t xml:space="preserve">Hoogeveen, S., Sarafoglou, A., Van Elk, M., &amp; Wagenmakers, E.-J. (2023). Many-analysts religion project: Reflection and conclusion.</w:t>
      </w:r>
      <w:r>
        <w:t xml:space="preserve"> </w:t>
      </w:r>
      <w:r>
        <w:rPr>
          <w:i/>
          <w:iCs/>
        </w:rPr>
        <w:t xml:space="preserve">Religion, Brain &amp; Behavior</w:t>
      </w:r>
      <w:r>
        <w:t xml:space="preserve">,</w:t>
      </w:r>
      <w:r>
        <w:t xml:space="preserve"> </w:t>
      </w:r>
      <w:r>
        <w:rPr>
          <w:i/>
          <w:iCs/>
        </w:rPr>
        <w:t xml:space="preserve">13</w:t>
      </w:r>
      <w:r>
        <w:t xml:space="preserve">(3), 356–363.</w:t>
      </w:r>
      <w:r>
        <w:t xml:space="preserve"> </w:t>
      </w:r>
      <w:hyperlink r:id="rId71">
        <w:r>
          <w:rPr>
            <w:rStyle w:val="Hyperlink"/>
          </w:rPr>
          <w:t xml:space="preserve">https://doi.org/10.1080/2153599X.2022.2070263</w:t>
        </w:r>
      </w:hyperlink>
    </w:p>
    <w:bookmarkEnd w:id="72"/>
    <w:bookmarkStart w:id="74" w:name="ref-huang_development_2022"/>
    <w:p>
      <w:pPr>
        <w:pStyle w:val="Bibliography"/>
      </w:pPr>
      <w:r>
        <w:t xml:space="preserve">Huang, Q., Wang, Y., &amp; et., al. (2022a). Development and introduction of online evidence-based medicine research helper.</w:t>
      </w:r>
      <w:r>
        <w:t xml:space="preserve"> </w:t>
      </w:r>
      <w:r>
        <w:rPr>
          <w:i/>
          <w:iCs/>
        </w:rPr>
        <w:t xml:space="preserve">CHINESE JOURNAL OF EVIDENCE-BASED MEDICINE</w:t>
      </w:r>
      <w:r>
        <w:t xml:space="preserve">,</w:t>
      </w:r>
      <w:r>
        <w:t xml:space="preserve"> </w:t>
      </w:r>
      <w:r>
        <w:rPr>
          <w:i/>
          <w:iCs/>
        </w:rPr>
        <w:t xml:space="preserve">22</w:t>
      </w:r>
      <w:r>
        <w:t xml:space="preserve">(12), 1483–1488.</w:t>
      </w:r>
      <w:r>
        <w:t xml:space="preserve"> </w:t>
      </w:r>
      <w:hyperlink r:id="rId73">
        <w:r>
          <w:rPr>
            <w:rStyle w:val="Hyperlink"/>
          </w:rPr>
          <w:t xml:space="preserve">https://ebm-helper.cn/en/Conv/OR_RR.html</w:t>
        </w:r>
      </w:hyperlink>
    </w:p>
    <w:bookmarkEnd w:id="74"/>
    <w:bookmarkStart w:id="76" w:name="ref-huang_development_2022-1"/>
    <w:p>
      <w:pPr>
        <w:pStyle w:val="Bibliography"/>
      </w:pPr>
      <w:r>
        <w:t xml:space="preserve">Huang, Q., Wang, Y., &amp; et., al. (2022b). Development and introduction of online evidence-based medicine research helper.</w:t>
      </w:r>
      <w:r>
        <w:t xml:space="preserve"> </w:t>
      </w:r>
      <w:r>
        <w:rPr>
          <w:i/>
          <w:iCs/>
        </w:rPr>
        <w:t xml:space="preserve">CHINESE JOURNAL OF EVIDENCE-BASED MEDICINE</w:t>
      </w:r>
      <w:r>
        <w:t xml:space="preserve">,</w:t>
      </w:r>
      <w:r>
        <w:t xml:space="preserve"> </w:t>
      </w:r>
      <w:r>
        <w:rPr>
          <w:i/>
          <w:iCs/>
        </w:rPr>
        <w:t xml:space="preserve">22</w:t>
      </w:r>
      <w:r>
        <w:t xml:space="preserve">(12), 1483–1488.</w:t>
      </w:r>
      <w:r>
        <w:t xml:space="preserve"> </w:t>
      </w:r>
      <w:hyperlink r:id="rId75">
        <w:r>
          <w:rPr>
            <w:rStyle w:val="Hyperlink"/>
          </w:rPr>
          <w:t xml:space="preserve">https://ebm-helper.cn/en/Conv/HR_RR.html</w:t>
        </w:r>
      </w:hyperlink>
    </w:p>
    <w:bookmarkEnd w:id="76"/>
    <w:bookmarkStart w:id="78" w:name="ref-kowall_marital_2025"/>
    <w:p>
      <w:pPr>
        <w:pStyle w:val="Bibliography"/>
      </w:pPr>
      <w:r>
        <w:t xml:space="preserve">Kowall, B., Ahrenfeldt, L. J., Basten, J., Becher, H., Brand, T., Braun, J., Casjens, S., Claessen, H., Denz, R., Diebner, H. H., Diexer, S., Eisemann, N., Furrer, E., Galetzka, W., Girschik, C., Karch, A., Mikolajczyk, R., Peters, M., Rospleszcz, S., … Rübsamen, N. (2025). Marital status and risk of cardiovascular disease – a multi-analyst study in epidemiology.</w:t>
      </w:r>
      <w:r>
        <w:t xml:space="preserve"> </w:t>
      </w:r>
      <w:r>
        <w:rPr>
          <w:i/>
          <w:iCs/>
        </w:rPr>
        <w:t xml:space="preserve">European Journal of Epidemiology</w:t>
      </w:r>
      <w:r>
        <w:t xml:space="preserve">,</w:t>
      </w:r>
      <w:r>
        <w:t xml:space="preserve"> </w:t>
      </w:r>
      <w:r>
        <w:rPr>
          <w:i/>
          <w:iCs/>
        </w:rPr>
        <w:t xml:space="preserve">40</w:t>
      </w:r>
      <w:r>
        <w:t xml:space="preserve">(5), 497–509.</w:t>
      </w:r>
      <w:r>
        <w:t xml:space="preserve"> </w:t>
      </w:r>
      <w:hyperlink r:id="rId77">
        <w:r>
          <w:rPr>
            <w:rStyle w:val="Hyperlink"/>
          </w:rPr>
          <w:t xml:space="preserve">https://doi.org/10.1007/s10654-025-01235-8</w:t>
        </w:r>
      </w:hyperlink>
    </w:p>
    <w:bookmarkEnd w:id="78"/>
    <w:bookmarkStart w:id="80" w:name="ref-kummerfeld_one_2023"/>
    <w:p>
      <w:pPr>
        <w:pStyle w:val="Bibliography"/>
      </w:pPr>
      <w:r>
        <w:t xml:space="preserve">Kummerfeld, E., &amp; Jones, G. L. (2023). One data set, many analysts:</w:t>
      </w:r>
      <w:r>
        <w:t xml:space="preserve"> </w:t>
      </w:r>
      <w:r>
        <w:t xml:space="preserve">Implications</w:t>
      </w:r>
      <w:r>
        <w:t xml:space="preserve"> </w:t>
      </w:r>
      <w:r>
        <w:t xml:space="preserve">for practicing scientists.</w:t>
      </w:r>
      <w:r>
        <w:t xml:space="preserve"> </w:t>
      </w:r>
      <w:r>
        <w:rPr>
          <w:i/>
          <w:iCs/>
        </w:rPr>
        <w:t xml:space="preserve">Frontiers in Psychology</w:t>
      </w:r>
      <w:r>
        <w:t xml:space="preserve">,</w:t>
      </w:r>
      <w:r>
        <w:t xml:space="preserve"> </w:t>
      </w:r>
      <w:r>
        <w:rPr>
          <w:i/>
          <w:iCs/>
        </w:rPr>
        <w:t xml:space="preserve">14</w:t>
      </w:r>
      <w:r>
        <w:t xml:space="preserve">, 1094150.</w:t>
      </w:r>
      <w:r>
        <w:t xml:space="preserve"> </w:t>
      </w:r>
      <w:hyperlink r:id="rId79">
        <w:r>
          <w:rPr>
            <w:rStyle w:val="Hyperlink"/>
          </w:rPr>
          <w:t xml:space="preserve">https://doi.org/10.3389/fpsyg.2023.1094150</w:t>
        </w:r>
      </w:hyperlink>
    </w:p>
    <w:bookmarkEnd w:id="80"/>
    <w:bookmarkStart w:id="82" w:name="ref-liu_approximation_2023"/>
    <w:p>
      <w:pPr>
        <w:pStyle w:val="Bibliography"/>
      </w:pPr>
      <w:r>
        <w:t xml:space="preserve">Liu, Y., Althoff, T., &amp; Heer, J. (2023).</w:t>
      </w:r>
      <w:r>
        <w:t xml:space="preserve"> </w:t>
      </w:r>
      <w:r>
        <w:rPr>
          <w:i/>
          <w:iCs/>
        </w:rPr>
        <w:t xml:space="preserve">Approximation and</w:t>
      </w:r>
      <w:r>
        <w:rPr>
          <w:i/>
          <w:iCs/>
        </w:rPr>
        <w:t xml:space="preserve"> </w:t>
      </w:r>
      <w:r>
        <w:rPr>
          <w:i/>
          <w:iCs/>
        </w:rPr>
        <w:t xml:space="preserve">Progressive</w:t>
      </w:r>
      <w:r>
        <w:rPr>
          <w:i/>
          <w:iCs/>
        </w:rPr>
        <w:t xml:space="preserve"> </w:t>
      </w:r>
      <w:r>
        <w:rPr>
          <w:i/>
          <w:iCs/>
        </w:rPr>
        <w:t xml:space="preserve">Display</w:t>
      </w:r>
      <w:r>
        <w:rPr>
          <w:i/>
          <w:iCs/>
        </w:rPr>
        <w:t xml:space="preserve"> </w:t>
      </w:r>
      <w:r>
        <w:rPr>
          <w:i/>
          <w:iCs/>
        </w:rPr>
        <w:t xml:space="preserve">of</w:t>
      </w:r>
      <w:r>
        <w:rPr>
          <w:i/>
          <w:iCs/>
        </w:rPr>
        <w:t xml:space="preserve"> </w:t>
      </w:r>
      <w:r>
        <w:rPr>
          <w:i/>
          <w:iCs/>
        </w:rPr>
        <w:t xml:space="preserve">Multiverse</w:t>
      </w:r>
      <w:r>
        <w:rPr>
          <w:i/>
          <w:iCs/>
        </w:rPr>
        <w:t xml:space="preserve"> </w:t>
      </w:r>
      <w:r>
        <w:rPr>
          <w:i/>
          <w:iCs/>
        </w:rPr>
        <w:t xml:space="preserve">Analyses</w:t>
      </w:r>
      <w:r>
        <w:t xml:space="preserve">. arXiv.</w:t>
      </w:r>
      <w:r>
        <w:t xml:space="preserve"> </w:t>
      </w:r>
      <w:hyperlink r:id="rId81">
        <w:r>
          <w:rPr>
            <w:rStyle w:val="Hyperlink"/>
          </w:rPr>
          <w:t xml:space="preserve">https://doi.org/10.48550/arXiv.2305.08323</w:t>
        </w:r>
      </w:hyperlink>
    </w:p>
    <w:bookmarkEnd w:id="82"/>
    <w:bookmarkStart w:id="84" w:name="ref-pana_sex-specific_2024"/>
    <w:p>
      <w:pPr>
        <w:pStyle w:val="Bibliography"/>
      </w:pPr>
      <w:r>
        <w:t xml:space="preserve">Pana, T. A., Mamas, M. A., Wareham, N. J., Khaw, K.-T., Dawson, D. K., &amp; Myint, P. K. (2024). Sex-specific lifetime risk of cardiovascular events: The</w:t>
      </w:r>
      <w:r>
        <w:t xml:space="preserve"> </w:t>
      </w:r>
      <w:r>
        <w:t xml:space="preserve">European</w:t>
      </w:r>
      <w:r>
        <w:t xml:space="preserve"> </w:t>
      </w:r>
      <w:r>
        <w:t xml:space="preserve">Prospective</w:t>
      </w:r>
      <w:r>
        <w:t xml:space="preserve"> </w:t>
      </w:r>
      <w:r>
        <w:t xml:space="preserve">Investigation</w:t>
      </w:r>
      <w:r>
        <w:t xml:space="preserve"> </w:t>
      </w:r>
      <w:r>
        <w:t xml:space="preserve">into</w:t>
      </w:r>
      <w:r>
        <w:t xml:space="preserve"> </w:t>
      </w:r>
      <w:r>
        <w:t xml:space="preserve">Cancer</w:t>
      </w:r>
      <w:r>
        <w:t xml:space="preserve">-</w:t>
      </w:r>
      <w:r>
        <w:t xml:space="preserve">Norfolk</w:t>
      </w:r>
      <w:r>
        <w:t xml:space="preserve"> </w:t>
      </w:r>
      <w:r>
        <w:t xml:space="preserve">prospective population cohort study.</w:t>
      </w:r>
      <w:r>
        <w:t xml:space="preserve"> </w:t>
      </w:r>
      <w:r>
        <w:rPr>
          <w:i/>
          <w:iCs/>
        </w:rPr>
        <w:t xml:space="preserve">European Journal of Preventive Cardiology</w:t>
      </w:r>
      <w:r>
        <w:t xml:space="preserve">,</w:t>
      </w:r>
      <w:r>
        <w:t xml:space="preserve"> </w:t>
      </w:r>
      <w:r>
        <w:rPr>
          <w:i/>
          <w:iCs/>
        </w:rPr>
        <w:t xml:space="preserve">31</w:t>
      </w:r>
      <w:r>
        <w:t xml:space="preserve">(2), 230–241.</w:t>
      </w:r>
      <w:r>
        <w:t xml:space="preserve"> </w:t>
      </w:r>
      <w:hyperlink r:id="rId83">
        <w:r>
          <w:rPr>
            <w:rStyle w:val="Hyperlink"/>
          </w:rPr>
          <w:t xml:space="preserve">https://doi.org/10.1093/eurjpc/zwad283</w:t>
        </w:r>
      </w:hyperlink>
    </w:p>
    <w:bookmarkEnd w:id="84"/>
    <w:bookmarkStart w:id="86" w:name="ref-rohrer_thinking_2018"/>
    <w:p>
      <w:pPr>
        <w:pStyle w:val="Bibliography"/>
      </w:pPr>
      <w:r>
        <w:t xml:space="preserve">Rohrer, J. M. (2018). Thinking</w:t>
      </w:r>
      <w:r>
        <w:t xml:space="preserve"> </w:t>
      </w:r>
      <w:r>
        <w:t xml:space="preserve">Clearly</w:t>
      </w:r>
      <w:r>
        <w:t xml:space="preserve"> </w:t>
      </w:r>
      <w:r>
        <w:t xml:space="preserve">About</w:t>
      </w:r>
      <w:r>
        <w:t xml:space="preserve"> </w:t>
      </w:r>
      <w:r>
        <w:t xml:space="preserve">Correlations</w:t>
      </w:r>
      <w:r>
        <w:t xml:space="preserve"> </w:t>
      </w:r>
      <w:r>
        <w:t xml:space="preserve">and</w:t>
      </w:r>
      <w:r>
        <w:t xml:space="preserve"> </w:t>
      </w:r>
      <w:r>
        <w:t xml:space="preserve">Causation</w:t>
      </w:r>
      <w:r>
        <w:t xml:space="preserve">:</w:t>
      </w:r>
      <w:r>
        <w:t xml:space="preserve"> </w:t>
      </w:r>
      <w:r>
        <w:t xml:space="preserve">Graphical</w:t>
      </w:r>
      <w:r>
        <w:t xml:space="preserve"> </w:t>
      </w:r>
      <w:r>
        <w:t xml:space="preserve">Causal</w:t>
      </w:r>
      <w:r>
        <w:t xml:space="preserve"> </w:t>
      </w:r>
      <w:r>
        <w:t xml:space="preserve">Models</w:t>
      </w:r>
      <w:r>
        <w:t xml:space="preserve"> </w:t>
      </w:r>
      <w:r>
        <w:t xml:space="preserve">for</w:t>
      </w:r>
      <w:r>
        <w:t xml:space="preserve"> </w:t>
      </w:r>
      <w:r>
        <w:t xml:space="preserve">Observational</w:t>
      </w:r>
      <w:r>
        <w:t xml:space="preserve"> </w:t>
      </w:r>
      <w:r>
        <w:t xml:space="preserve">Data</w:t>
      </w:r>
      <w:r>
        <w:t xml:space="preserve">.</w:t>
      </w:r>
      <w:r>
        <w:t xml:space="preserve"> </w:t>
      </w:r>
      <w:r>
        <w:rPr>
          <w:i/>
          <w:iCs/>
        </w:rPr>
        <w:t xml:space="preserve">Advances in Methods and Practices in Psychological Science</w:t>
      </w:r>
      <w:r>
        <w:t xml:space="preserve">,</w:t>
      </w:r>
      <w:r>
        <w:t xml:space="preserve"> </w:t>
      </w:r>
      <w:r>
        <w:rPr>
          <w:i/>
          <w:iCs/>
        </w:rPr>
        <w:t xml:space="preserve">1</w:t>
      </w:r>
      <w:r>
        <w:t xml:space="preserve">(1), 27–42.</w:t>
      </w:r>
      <w:r>
        <w:t xml:space="preserve"> </w:t>
      </w:r>
      <w:hyperlink r:id="rId85">
        <w:r>
          <w:rPr>
            <w:rStyle w:val="Hyperlink"/>
          </w:rPr>
          <w:t xml:space="preserve">https://doi.org/10.1177/2515245917745629</w:t>
        </w:r>
      </w:hyperlink>
    </w:p>
    <w:bookmarkEnd w:id="86"/>
    <w:bookmarkStart w:id="88" w:name="ref-rohrer_what_2025"/>
    <w:p>
      <w:pPr>
        <w:pStyle w:val="Bibliography"/>
      </w:pPr>
      <w:r>
        <w:t xml:space="preserve">Rohrer, J. M., Smith, G. D., &amp; Munafò, M. (2025). What can be learned when multiple analysts arrive at different estimates.</w:t>
      </w:r>
      <w:r>
        <w:t xml:space="preserve"> </w:t>
      </w:r>
      <w:r>
        <w:rPr>
          <w:i/>
          <w:iCs/>
        </w:rPr>
        <w:t xml:space="preserve">European Journal of Epidemiology</w:t>
      </w:r>
      <w:r>
        <w:t xml:space="preserve">,</w:t>
      </w:r>
      <w:r>
        <w:t xml:space="preserve"> </w:t>
      </w:r>
      <w:r>
        <w:rPr>
          <w:i/>
          <w:iCs/>
        </w:rPr>
        <w:t xml:space="preserve">40</w:t>
      </w:r>
      <w:r>
        <w:t xml:space="preserve">(5), 493–495.</w:t>
      </w:r>
      <w:r>
        <w:t xml:space="preserve"> </w:t>
      </w:r>
      <w:hyperlink r:id="rId87">
        <w:r>
          <w:rPr>
            <w:rStyle w:val="Hyperlink"/>
          </w:rPr>
          <w:t xml:space="preserve">https://doi.org/10.1007/s10654-025-01249-2</w:t>
        </w:r>
      </w:hyperlink>
    </w:p>
    <w:bookmarkEnd w:id="88"/>
    <w:bookmarkStart w:id="89" w:name="ref-scholz_k-sample_1987"/>
    <w:p>
      <w:pPr>
        <w:pStyle w:val="Bibliography"/>
      </w:pPr>
      <w:r>
        <w:t xml:space="preserve">Scholz, F. W., &amp; Stephens, M. A. (1987).</w:t>
      </w:r>
      <w:r>
        <w:t xml:space="preserve"> </w:t>
      </w:r>
      <w:r>
        <w:rPr>
          <w:i/>
          <w:iCs/>
        </w:rPr>
        <w:t xml:space="preserve">K-</w:t>
      </w:r>
      <w:r>
        <w:rPr>
          <w:i/>
          <w:iCs/>
        </w:rPr>
        <w:t xml:space="preserve">Sample</w:t>
      </w:r>
      <w:r>
        <w:rPr>
          <w:i/>
          <w:iCs/>
        </w:rPr>
        <w:t xml:space="preserve"> </w:t>
      </w:r>
      <w:r>
        <w:rPr>
          <w:i/>
          <w:iCs/>
        </w:rPr>
        <w:t xml:space="preserve">Anderson</w:t>
      </w:r>
      <w:r>
        <w:rPr>
          <w:i/>
          <w:iCs/>
        </w:rPr>
        <w:t xml:space="preserve">-</w:t>
      </w:r>
      <w:r>
        <w:rPr>
          <w:i/>
          <w:iCs/>
        </w:rPr>
        <w:t xml:space="preserve">Darling</w:t>
      </w:r>
      <w:r>
        <w:rPr>
          <w:i/>
          <w:iCs/>
        </w:rPr>
        <w:t xml:space="preserve"> </w:t>
      </w:r>
      <w:r>
        <w:rPr>
          <w:i/>
          <w:iCs/>
        </w:rPr>
        <w:t xml:space="preserve">Tests</w:t>
      </w:r>
      <w:r>
        <w:t xml:space="preserve">.</w:t>
      </w:r>
    </w:p>
    <w:bookmarkEnd w:id="89"/>
    <w:bookmarkStart w:id="91" w:name="ref-silberzahn_many_2018"/>
    <w:p>
      <w:pPr>
        <w:pStyle w:val="Bibliography"/>
      </w:pPr>
      <w:r>
        <w:t xml:space="preserve">Silberzahn, R., Uhlmann, E. L., Martin, D. P., Anselmi, P., Aust, F., Awtrey, E., Bahník, Š., Bai, F., Bannard, C., Bonnier, E., Carlsson, R., Cheung, F., Christensen, G., Clay, R., Craig, M. A., Dalla Rosa, A., Dam, L., Evans, M. H., Flores Cervantes, I., … Nosek, B. A. (2018). Many</w:t>
      </w:r>
      <w:r>
        <w:t xml:space="preserve"> </w:t>
      </w:r>
      <w:r>
        <w:t xml:space="preserve">Analysts</w:t>
      </w:r>
      <w:r>
        <w:t xml:space="preserve">,</w:t>
      </w:r>
      <w:r>
        <w:t xml:space="preserve"> </w:t>
      </w:r>
      <w:r>
        <w:t xml:space="preserve">One</w:t>
      </w:r>
      <w:r>
        <w:t xml:space="preserve"> </w:t>
      </w:r>
      <w:r>
        <w:t xml:space="preserve">Data</w:t>
      </w:r>
      <w:r>
        <w:t xml:space="preserve"> </w:t>
      </w:r>
      <w:r>
        <w:t xml:space="preserve">Set</w:t>
      </w:r>
      <w:r>
        <w:t xml:space="preserve">:</w:t>
      </w:r>
      <w:r>
        <w:t xml:space="preserve"> </w:t>
      </w:r>
      <w:r>
        <w:t xml:space="preserve">Making</w:t>
      </w:r>
      <w:r>
        <w:t xml:space="preserve"> </w:t>
      </w:r>
      <w:r>
        <w:t xml:space="preserve">Transparent</w:t>
      </w:r>
      <w:r>
        <w:t xml:space="preserve"> </w:t>
      </w:r>
      <w:r>
        <w:t xml:space="preserve">How</w:t>
      </w:r>
      <w:r>
        <w:t xml:space="preserve"> </w:t>
      </w:r>
      <w:r>
        <w:t xml:space="preserve">Variations</w:t>
      </w:r>
      <w:r>
        <w:t xml:space="preserve"> </w:t>
      </w:r>
      <w:r>
        <w:t xml:space="preserve">in</w:t>
      </w:r>
      <w:r>
        <w:t xml:space="preserve"> </w:t>
      </w:r>
      <w:r>
        <w:t xml:space="preserve">Analytic</w:t>
      </w:r>
      <w:r>
        <w:t xml:space="preserve"> </w:t>
      </w:r>
      <w:r>
        <w:t xml:space="preserve">Choices</w:t>
      </w:r>
      <w:r>
        <w:t xml:space="preserve"> </w:t>
      </w:r>
      <w:r>
        <w:t xml:space="preserve">Affect</w:t>
      </w:r>
      <w:r>
        <w:t xml:space="preserve"> </w:t>
      </w:r>
      <w:r>
        <w:t xml:space="preserve">Results</w:t>
      </w:r>
      <w:r>
        <w:t xml:space="preserve">.</w:t>
      </w:r>
      <w:r>
        <w:t xml:space="preserve"> </w:t>
      </w:r>
      <w:r>
        <w:rPr>
          <w:i/>
          <w:iCs/>
        </w:rPr>
        <w:t xml:space="preserve">Advances in Methods and Practices in Psychological Science</w:t>
      </w:r>
      <w:r>
        <w:t xml:space="preserve">,</w:t>
      </w:r>
      <w:r>
        <w:t xml:space="preserve"> </w:t>
      </w:r>
      <w:r>
        <w:rPr>
          <w:i/>
          <w:iCs/>
        </w:rPr>
        <w:t xml:space="preserve">1</w:t>
      </w:r>
      <w:r>
        <w:t xml:space="preserve">(3), 337–356.</w:t>
      </w:r>
      <w:r>
        <w:t xml:space="preserve"> </w:t>
      </w:r>
      <w:hyperlink r:id="rId90">
        <w:r>
          <w:rPr>
            <w:rStyle w:val="Hyperlink"/>
          </w:rPr>
          <w:t xml:space="preserve">https://doi.org/10.1177/2515245917747646</w:t>
        </w:r>
      </w:hyperlink>
    </w:p>
    <w:bookmarkEnd w:id="91"/>
    <w:bookmarkStart w:id="93" w:name="ref-simonsohn_specification_2015"/>
    <w:p>
      <w:pPr>
        <w:pStyle w:val="Bibliography"/>
      </w:pPr>
      <w:r>
        <w:t xml:space="preserve">Simonsohn, U., Simmons, J. P., &amp; Nelson, L. D. (2015). Specification</w:t>
      </w:r>
      <w:r>
        <w:t xml:space="preserve"> </w:t>
      </w:r>
      <w:r>
        <w:t xml:space="preserve">Curve</w:t>
      </w:r>
      <w:r>
        <w:t xml:space="preserve">:</w:t>
      </w:r>
      <w:r>
        <w:t xml:space="preserve"> </w:t>
      </w:r>
      <w:r>
        <w:t xml:space="preserve">Descriptive</w:t>
      </w:r>
      <w:r>
        <w:t xml:space="preserve"> </w:t>
      </w:r>
      <w:r>
        <w:t xml:space="preserve">and</w:t>
      </w:r>
      <w:r>
        <w:t xml:space="preserve"> </w:t>
      </w:r>
      <w:r>
        <w:t xml:space="preserve">Inferential</w:t>
      </w:r>
      <w:r>
        <w:t xml:space="preserve"> </w:t>
      </w:r>
      <w:r>
        <w:t xml:space="preserve">Statistics</w:t>
      </w:r>
      <w:r>
        <w:t xml:space="preserve"> </w:t>
      </w:r>
      <w:r>
        <w:t xml:space="preserve">on</w:t>
      </w:r>
      <w:r>
        <w:t xml:space="preserve"> </w:t>
      </w:r>
      <w:r>
        <w:t xml:space="preserve">All</w:t>
      </w:r>
      <w:r>
        <w:t xml:space="preserve"> </w:t>
      </w:r>
      <w:r>
        <w:t xml:space="preserve">Reasonable</w:t>
      </w:r>
      <w:r>
        <w:t xml:space="preserve"> </w:t>
      </w:r>
      <w:r>
        <w:t xml:space="preserve">Specifications</w:t>
      </w:r>
      <w:r>
        <w:t xml:space="preserve">.</w:t>
      </w:r>
      <w:r>
        <w:t xml:space="preserve"> </w:t>
      </w:r>
      <w:r>
        <w:rPr>
          <w:i/>
          <w:iCs/>
        </w:rPr>
        <w:t xml:space="preserve">SSRN Electronic Journal</w:t>
      </w:r>
      <w:r>
        <w:t xml:space="preserve">.</w:t>
      </w:r>
      <w:r>
        <w:t xml:space="preserve"> </w:t>
      </w:r>
      <w:hyperlink r:id="rId92">
        <w:r>
          <w:rPr>
            <w:rStyle w:val="Hyperlink"/>
          </w:rPr>
          <w:t xml:space="preserve">https://doi.org/10.2139/ssrn.2694998</w:t>
        </w:r>
      </w:hyperlink>
    </w:p>
    <w:bookmarkEnd w:id="93"/>
    <w:bookmarkStart w:id="95" w:name="ref-steegen_increasing_2016"/>
    <w:p>
      <w:pPr>
        <w:pStyle w:val="Bibliography"/>
      </w:pPr>
      <w:r>
        <w:t xml:space="preserve">Steegen, S., Tuerlinckx, F., Gelman, A., &amp; Vanpaemel, W. (2016). Increasing</w:t>
      </w:r>
      <w:r>
        <w:t xml:space="preserve"> </w:t>
      </w:r>
      <w:r>
        <w:t xml:space="preserve">Transparency</w:t>
      </w:r>
      <w:r>
        <w:t xml:space="preserve"> </w:t>
      </w:r>
      <w:r>
        <w:t xml:space="preserve">Through</w:t>
      </w:r>
      <w:r>
        <w:t xml:space="preserve"> </w:t>
      </w:r>
      <w:r>
        <w:t xml:space="preserve">a</w:t>
      </w:r>
      <w:r>
        <w:t xml:space="preserve"> </w:t>
      </w:r>
      <w:r>
        <w:t xml:space="preserve">Multiverse</w:t>
      </w:r>
      <w:r>
        <w:t xml:space="preserve"> </w:t>
      </w:r>
      <w:r>
        <w:t xml:space="preserve">Analysis</w:t>
      </w:r>
      <w:r>
        <w:t xml:space="preserve">.</w:t>
      </w:r>
      <w:r>
        <w:t xml:space="preserve"> </w:t>
      </w:r>
      <w:r>
        <w:rPr>
          <w:i/>
          <w:iCs/>
        </w:rPr>
        <w:t xml:space="preserve">Perspectives on Psychological Science</w:t>
      </w:r>
      <w:r>
        <w:t xml:space="preserve">,</w:t>
      </w:r>
      <w:r>
        <w:t xml:space="preserve"> </w:t>
      </w:r>
      <w:r>
        <w:rPr>
          <w:i/>
          <w:iCs/>
        </w:rPr>
        <w:t xml:space="preserve">11</w:t>
      </w:r>
      <w:r>
        <w:t xml:space="preserve">(5), 702–712.</w:t>
      </w:r>
      <w:r>
        <w:t xml:space="preserve"> </w:t>
      </w:r>
      <w:hyperlink r:id="rId94">
        <w:r>
          <w:rPr>
            <w:rStyle w:val="Hyperlink"/>
          </w:rPr>
          <w:t xml:space="preserve">https://doi.org/10.1177/1745691616658637</w:t>
        </w:r>
      </w:hyperlink>
    </w:p>
    <w:bookmarkEnd w:id="95"/>
    <w:bookmarkStart w:id="97" w:name="ref-r_core_team_r_2024"/>
    <w:p>
      <w:pPr>
        <w:pStyle w:val="Bibliography"/>
      </w:pPr>
      <w:r>
        <w:t xml:space="preserve">Team, R. C. (2024).</w:t>
      </w:r>
      <w:r>
        <w:t xml:space="preserve"> </w:t>
      </w:r>
      <w:r>
        <w:rPr>
          <w:i/>
          <w:iCs/>
        </w:rPr>
        <w:t xml:space="preserve">R:</w:t>
      </w:r>
      <w:r>
        <w:rPr>
          <w:i/>
          <w:iCs/>
        </w:rPr>
        <w:t xml:space="preserve"> </w:t>
      </w:r>
      <w:r>
        <w:rPr>
          <w:i/>
          <w:iCs/>
        </w:rPr>
        <w:t xml:space="preserve">A</w:t>
      </w:r>
      <w:r>
        <w:rPr>
          <w:i/>
          <w:iCs/>
        </w:rPr>
        <w:t xml:space="preserve"> </w:t>
      </w:r>
      <w:r>
        <w:rPr>
          <w:i/>
          <w:iCs/>
        </w:rPr>
        <w:t xml:space="preserve">Language</w:t>
      </w:r>
      <w:r>
        <w:rPr>
          <w:i/>
          <w:iCs/>
        </w:rPr>
        <w:t xml:space="preserve"> </w:t>
      </w:r>
      <w:r>
        <w:rPr>
          <w:i/>
          <w:iCs/>
        </w:rPr>
        <w:t xml:space="preserve">and</w:t>
      </w:r>
      <w:r>
        <w:rPr>
          <w:i/>
          <w:iCs/>
        </w:rPr>
        <w:t xml:space="preserve"> </w:t>
      </w:r>
      <w:r>
        <w:rPr>
          <w:i/>
          <w:iCs/>
        </w:rPr>
        <w:t xml:space="preserve">Environment</w:t>
      </w:r>
      <w:r>
        <w:rPr>
          <w:i/>
          <w:iCs/>
        </w:rPr>
        <w:t xml:space="preserve"> </w:t>
      </w:r>
      <w:r>
        <w:rPr>
          <w:i/>
          <w:iCs/>
        </w:rPr>
        <w:t xml:space="preserve">for</w:t>
      </w:r>
      <w:r>
        <w:rPr>
          <w:i/>
          <w:iCs/>
        </w:rPr>
        <w:t xml:space="preserve"> </w:t>
      </w:r>
      <w:r>
        <w:rPr>
          <w:i/>
          <w:iCs/>
        </w:rPr>
        <w:t xml:space="preserve">Statistical</w:t>
      </w:r>
      <w:r>
        <w:rPr>
          <w:i/>
          <w:iCs/>
        </w:rPr>
        <w:t xml:space="preserve"> </w:t>
      </w:r>
      <w:r>
        <w:rPr>
          <w:i/>
          <w:iCs/>
        </w:rPr>
        <w:t xml:space="preserve">Computing</w:t>
      </w:r>
      <w:r>
        <w:t xml:space="preserve">. R Foundation for Statistical Computing.</w:t>
      </w:r>
      <w:r>
        <w:t xml:space="preserve"> </w:t>
      </w:r>
      <w:hyperlink r:id="rId96">
        <w:r>
          <w:rPr>
            <w:rStyle w:val="Hyperlink"/>
          </w:rPr>
          <w:t xml:space="preserve">https://www.R-project.org/</w:t>
        </w:r>
      </w:hyperlink>
    </w:p>
    <w:bookmarkEnd w:id="97"/>
    <w:bookmarkStart w:id="99" w:name="ref-vanderweele_optimal_2020"/>
    <w:p>
      <w:pPr>
        <w:pStyle w:val="Bibliography"/>
      </w:pPr>
      <w:r>
        <w:t xml:space="preserve">VanderWeele, T. J. (2020). Optimal approximate conversions of odds ratios and hazard ratios to risk ratios.</w:t>
      </w:r>
      <w:r>
        <w:t xml:space="preserve"> </w:t>
      </w:r>
      <w:r>
        <w:rPr>
          <w:i/>
          <w:iCs/>
        </w:rPr>
        <w:t xml:space="preserve">Biometrics</w:t>
      </w:r>
      <w:r>
        <w:t xml:space="preserve">,</w:t>
      </w:r>
      <w:r>
        <w:t xml:space="preserve"> </w:t>
      </w:r>
      <w:r>
        <w:rPr>
          <w:i/>
          <w:iCs/>
        </w:rPr>
        <w:t xml:space="preserve">76</w:t>
      </w:r>
      <w:r>
        <w:t xml:space="preserve">(3), 746–752.</w:t>
      </w:r>
      <w:r>
        <w:t xml:space="preserve"> </w:t>
      </w:r>
      <w:hyperlink r:id="rId98">
        <w:r>
          <w:rPr>
            <w:rStyle w:val="Hyperlink"/>
          </w:rPr>
          <w:t xml:space="preserve">https://doi.org/10.1111/biom.13197</w:t>
        </w:r>
      </w:hyperlink>
    </w:p>
    <w:bookmarkEnd w:id="99"/>
    <w:bookmarkStart w:id="101" w:name="ref-williamson_log-binomial_2013"/>
    <w:p>
      <w:pPr>
        <w:pStyle w:val="Bibliography"/>
      </w:pPr>
      <w:r>
        <w:t xml:space="preserve">Williamson, T., Eliasziw, M., &amp; Fick, G. H. (2013). Log-binomial models: Exploring failed convergence.</w:t>
      </w:r>
      <w:r>
        <w:t xml:space="preserve"> </w:t>
      </w:r>
      <w:r>
        <w:rPr>
          <w:i/>
          <w:iCs/>
        </w:rPr>
        <w:t xml:space="preserve">Emerging Themes in Epidemiology</w:t>
      </w:r>
      <w:r>
        <w:t xml:space="preserve">,</w:t>
      </w:r>
      <w:r>
        <w:t xml:space="preserve"> </w:t>
      </w:r>
      <w:r>
        <w:rPr>
          <w:i/>
          <w:iCs/>
        </w:rPr>
        <w:t xml:space="preserve">10</w:t>
      </w:r>
      <w:r>
        <w:t xml:space="preserve">, 14.</w:t>
      </w:r>
      <w:r>
        <w:t xml:space="preserve"> </w:t>
      </w:r>
      <w:hyperlink r:id="rId100">
        <w:r>
          <w:rPr>
            <w:rStyle w:val="Hyperlink"/>
          </w:rPr>
          <w:t xml:space="preserve">https://doi.org/10.1186/1742-7622-10-14</w:t>
        </w:r>
      </w:hyperlink>
    </w:p>
    <w:bookmarkEnd w:id="101"/>
    <w:bookmarkStart w:id="103" w:name="ref-yang_causal_2019"/>
    <w:p>
      <w:pPr>
        <w:pStyle w:val="Bibliography"/>
      </w:pPr>
      <w:r>
        <w:t xml:space="preserve">Yang, S., Wang, L., &amp; Ding, P. (2019). Causal inference with confounders missing not at random.</w:t>
      </w:r>
      <w:r>
        <w:t xml:space="preserve"> </w:t>
      </w:r>
      <w:r>
        <w:rPr>
          <w:i/>
          <w:iCs/>
        </w:rPr>
        <w:t xml:space="preserve">Biometrika</w:t>
      </w:r>
      <w:r>
        <w:t xml:space="preserve">,</w:t>
      </w:r>
      <w:r>
        <w:t xml:space="preserve"> </w:t>
      </w:r>
      <w:r>
        <w:rPr>
          <w:i/>
          <w:iCs/>
        </w:rPr>
        <w:t xml:space="preserve">106</w:t>
      </w:r>
      <w:r>
        <w:t xml:space="preserve">(4), 875–888.</w:t>
      </w:r>
      <w:r>
        <w:t xml:space="preserve"> </w:t>
      </w:r>
      <w:hyperlink r:id="rId102">
        <w:r>
          <w:rPr>
            <w:rStyle w:val="Hyperlink"/>
          </w:rPr>
          <w:t xml:space="preserve">https://doi.org/10.1093/biomet/asz048</w:t>
        </w:r>
      </w:hyperlink>
    </w:p>
    <w:bookmarkEnd w:id="103"/>
    <w:bookmarkStart w:id="105" w:name="ref-zhang_whats_1998"/>
    <w:p>
      <w:pPr>
        <w:pStyle w:val="Bibliography"/>
      </w:pPr>
      <w:r>
        <w:t xml:space="preserve">Zhang, J., &amp; Yu, K. F. (1998). What’s the relative risk?</w:t>
      </w:r>
      <w:r>
        <w:t xml:space="preserve"> </w:t>
      </w:r>
      <w:r>
        <w:t xml:space="preserve">A</w:t>
      </w:r>
      <w:r>
        <w:t xml:space="preserve"> </w:t>
      </w:r>
      <w:r>
        <w:t xml:space="preserve">method of correcting the odds ratio in cohort studies of common outcomes.</w:t>
      </w:r>
      <w:r>
        <w:t xml:space="preserve"> </w:t>
      </w:r>
      <w:r>
        <w:rPr>
          <w:i/>
          <w:iCs/>
        </w:rPr>
        <w:t xml:space="preserve">JAMA</w:t>
      </w:r>
      <w:r>
        <w:t xml:space="preserve">,</w:t>
      </w:r>
      <w:r>
        <w:t xml:space="preserve"> </w:t>
      </w:r>
      <w:r>
        <w:rPr>
          <w:i/>
          <w:iCs/>
        </w:rPr>
        <w:t xml:space="preserve">280</w:t>
      </w:r>
      <w:r>
        <w:t xml:space="preserve">(19), 1690–1691.</w:t>
      </w:r>
      <w:r>
        <w:t xml:space="preserve"> </w:t>
      </w:r>
      <w:hyperlink r:id="rId104">
        <w:r>
          <w:rPr>
            <w:rStyle w:val="Hyperlink"/>
          </w:rPr>
          <w:t xml:space="preserve">https://doi.org/10.1001/jama.280.19.1690</w:t>
        </w:r>
      </w:hyperlink>
    </w:p>
    <w:bookmarkEnd w:id="105"/>
    <w:bookmarkStart w:id="107" w:name="ref-zhu_refinements_2024"/>
    <w:p>
      <w:pPr>
        <w:pStyle w:val="Bibliography"/>
      </w:pPr>
      <w:r>
        <w:t xml:space="preserve">Zhu, C., Hosmer, D. W., Stankovich, J., Wills, K., &amp; Blizzard, L. (2024). Refinements on the exact method to solve the numerical difficulties in fitting the log binomial regression model for estimating relative risk.</w:t>
      </w:r>
      <w:r>
        <w:t xml:space="preserve"> </w:t>
      </w:r>
      <w:r>
        <w:rPr>
          <w:i/>
          <w:iCs/>
        </w:rPr>
        <w:t xml:space="preserve">Communications in Statistics - Theory and Methods</w:t>
      </w:r>
      <w:r>
        <w:t xml:space="preserve">,</w:t>
      </w:r>
      <w:r>
        <w:t xml:space="preserve"> </w:t>
      </w:r>
      <w:r>
        <w:rPr>
          <w:i/>
          <w:iCs/>
        </w:rPr>
        <w:t xml:space="preserve">53</w:t>
      </w:r>
      <w:r>
        <w:t xml:space="preserve">(23), 8359–8375.</w:t>
      </w:r>
      <w:r>
        <w:t xml:space="preserve"> </w:t>
      </w:r>
      <w:hyperlink r:id="rId106">
        <w:r>
          <w:rPr>
            <w:rStyle w:val="Hyperlink"/>
          </w:rPr>
          <w:t xml:space="preserve">https://doi.org/10.1080/03610926.2023.2284674</w:t>
        </w:r>
      </w:hyperlink>
    </w:p>
    <w:bookmarkEnd w:id="107"/>
    <w:bookmarkEnd w:id="108"/>
    <w:bookmarkEnd w:id="10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4" Target="https://doi.org/10.1001/jama.280.19.1690" TargetMode="External" /><Relationship Type="http://schemas.openxmlformats.org/officeDocument/2006/relationships/hyperlink" Id="rId77" Target="https://doi.org/10.1007/s10654-025-01235-8" TargetMode="External" /><Relationship Type="http://schemas.openxmlformats.org/officeDocument/2006/relationships/hyperlink" Id="rId87" Target="https://doi.org/10.1007/s10654-025-01249-2" TargetMode="External" /><Relationship Type="http://schemas.openxmlformats.org/officeDocument/2006/relationships/hyperlink" Id="rId53" Target="https://doi.org/10.1007/s10869-016-9456-7" TargetMode="External" /><Relationship Type="http://schemas.openxmlformats.org/officeDocument/2006/relationships/hyperlink" Id="rId65" Target="https://doi.org/10.1016/B978-0-323-90969-3.00003-7" TargetMode="External" /><Relationship Type="http://schemas.openxmlformats.org/officeDocument/2006/relationships/hyperlink" Id="rId55" Target="https://doi.org/10.1016/j.jpsychores.2020.110211" TargetMode="External" /><Relationship Type="http://schemas.openxmlformats.org/officeDocument/2006/relationships/hyperlink" Id="rId57" Target="https://doi.org/10.1038/s41586-020-2314-9" TargetMode="External" /><Relationship Type="http://schemas.openxmlformats.org/officeDocument/2006/relationships/hyperlink" Id="rId59" Target="https://doi.org/10.1073/pnas.2203150119" TargetMode="External" /><Relationship Type="http://schemas.openxmlformats.org/officeDocument/2006/relationships/hyperlink" Id="rId51" Target="https://doi.org/10.1073/pnas.2404035121" TargetMode="External" /><Relationship Type="http://schemas.openxmlformats.org/officeDocument/2006/relationships/hyperlink" Id="rId106" Target="https://doi.org/10.1080/03610926.2023.2284674" TargetMode="External" /><Relationship Type="http://schemas.openxmlformats.org/officeDocument/2006/relationships/hyperlink" Id="rId61" Target="https://doi.org/10.1080/2153599X.2022.2070245" TargetMode="External" /><Relationship Type="http://schemas.openxmlformats.org/officeDocument/2006/relationships/hyperlink" Id="rId69" Target="https://doi.org/10.1080/2153599X.2022.2070255" TargetMode="External" /><Relationship Type="http://schemas.openxmlformats.org/officeDocument/2006/relationships/hyperlink" Id="rId71" Target="https://doi.org/10.1080/2153599X.2022.2070263" TargetMode="External" /><Relationship Type="http://schemas.openxmlformats.org/officeDocument/2006/relationships/hyperlink" Id="rId102" Target="https://doi.org/10.1093/biomet/asz048" TargetMode="External" /><Relationship Type="http://schemas.openxmlformats.org/officeDocument/2006/relationships/hyperlink" Id="rId83" Target="https://doi.org/10.1093/eurjpc/zwad283" TargetMode="External" /><Relationship Type="http://schemas.openxmlformats.org/officeDocument/2006/relationships/hyperlink" Id="rId98" Target="https://doi.org/10.1111/biom.13197" TargetMode="External" /><Relationship Type="http://schemas.openxmlformats.org/officeDocument/2006/relationships/hyperlink" Id="rId94" Target="https://doi.org/10.1177/1745691616658637" TargetMode="External" /><Relationship Type="http://schemas.openxmlformats.org/officeDocument/2006/relationships/hyperlink" Id="rId85" Target="https://doi.org/10.1177/2515245917745629" TargetMode="External" /><Relationship Type="http://schemas.openxmlformats.org/officeDocument/2006/relationships/hyperlink" Id="rId90" Target="https://doi.org/10.1177/2515245917747646" TargetMode="External" /><Relationship Type="http://schemas.openxmlformats.org/officeDocument/2006/relationships/hyperlink" Id="rId63" Target="https://doi.org/10.1177/2515245920954925" TargetMode="External" /><Relationship Type="http://schemas.openxmlformats.org/officeDocument/2006/relationships/hyperlink" Id="rId100" Target="https://doi.org/10.1186/1742-7622-10-14" TargetMode="External" /><Relationship Type="http://schemas.openxmlformats.org/officeDocument/2006/relationships/hyperlink" Id="rId67" Target="https://doi.org/10.1186/s12915-024-02101-x" TargetMode="External" /><Relationship Type="http://schemas.openxmlformats.org/officeDocument/2006/relationships/hyperlink" Id="rId92" Target="https://doi.org/10.2139/ssrn.2694998" TargetMode="External" /><Relationship Type="http://schemas.openxmlformats.org/officeDocument/2006/relationships/hyperlink" Id="rId79" Target="https://doi.org/10.3389/fpsyg.2023.1094150" TargetMode="External" /><Relationship Type="http://schemas.openxmlformats.org/officeDocument/2006/relationships/hyperlink" Id="rId81" Target="https://doi.org/10.48550/arXiv.2305.08323" TargetMode="External" /><Relationship Type="http://schemas.openxmlformats.org/officeDocument/2006/relationships/hyperlink" Id="rId49" Target="https://doi.org/10.7554/eLife.72185" TargetMode="External" /><Relationship Type="http://schemas.openxmlformats.org/officeDocument/2006/relationships/hyperlink" Id="rId75" Target="https://ebm-helper.cn/en/Conv/HR_RR.html" TargetMode="External" /><Relationship Type="http://schemas.openxmlformats.org/officeDocument/2006/relationships/hyperlink" Id="rId73" Target="https://ebm-helper.cn/en/Conv/OR_RR.html" TargetMode="External" /><Relationship Type="http://schemas.openxmlformats.org/officeDocument/2006/relationships/hyperlink" Id="rId33" Target="https://github.com/lodewijn/ManyAnalystThesisCompendium" TargetMode="External" /><Relationship Type="http://schemas.openxmlformats.org/officeDocument/2006/relationships/hyperlink" Id="rId96" Target="https://www.R-project.org/" TargetMode="External" /></Relationships>
</file>

<file path=word/_rels/footnotes.xml.rels><?xml version="1.0" encoding="UTF-8"?><Relationships xmlns="http://schemas.openxmlformats.org/package/2006/relationships"><Relationship Type="http://schemas.openxmlformats.org/officeDocument/2006/relationships/hyperlink" Id="rId104" Target="https://doi.org/10.1001/jama.280.19.1690" TargetMode="External" /><Relationship Type="http://schemas.openxmlformats.org/officeDocument/2006/relationships/hyperlink" Id="rId77" Target="https://doi.org/10.1007/s10654-025-01235-8" TargetMode="External" /><Relationship Type="http://schemas.openxmlformats.org/officeDocument/2006/relationships/hyperlink" Id="rId87" Target="https://doi.org/10.1007/s10654-025-01249-2" TargetMode="External" /><Relationship Type="http://schemas.openxmlformats.org/officeDocument/2006/relationships/hyperlink" Id="rId53" Target="https://doi.org/10.1007/s10869-016-9456-7" TargetMode="External" /><Relationship Type="http://schemas.openxmlformats.org/officeDocument/2006/relationships/hyperlink" Id="rId65" Target="https://doi.org/10.1016/B978-0-323-90969-3.00003-7" TargetMode="External" /><Relationship Type="http://schemas.openxmlformats.org/officeDocument/2006/relationships/hyperlink" Id="rId55" Target="https://doi.org/10.1016/j.jpsychores.2020.110211" TargetMode="External" /><Relationship Type="http://schemas.openxmlformats.org/officeDocument/2006/relationships/hyperlink" Id="rId57" Target="https://doi.org/10.1038/s41586-020-2314-9" TargetMode="External" /><Relationship Type="http://schemas.openxmlformats.org/officeDocument/2006/relationships/hyperlink" Id="rId59" Target="https://doi.org/10.1073/pnas.2203150119" TargetMode="External" /><Relationship Type="http://schemas.openxmlformats.org/officeDocument/2006/relationships/hyperlink" Id="rId51" Target="https://doi.org/10.1073/pnas.2404035121" TargetMode="External" /><Relationship Type="http://schemas.openxmlformats.org/officeDocument/2006/relationships/hyperlink" Id="rId106" Target="https://doi.org/10.1080/03610926.2023.2284674" TargetMode="External" /><Relationship Type="http://schemas.openxmlformats.org/officeDocument/2006/relationships/hyperlink" Id="rId61" Target="https://doi.org/10.1080/2153599X.2022.2070245" TargetMode="External" /><Relationship Type="http://schemas.openxmlformats.org/officeDocument/2006/relationships/hyperlink" Id="rId69" Target="https://doi.org/10.1080/2153599X.2022.2070255" TargetMode="External" /><Relationship Type="http://schemas.openxmlformats.org/officeDocument/2006/relationships/hyperlink" Id="rId71" Target="https://doi.org/10.1080/2153599X.2022.2070263" TargetMode="External" /><Relationship Type="http://schemas.openxmlformats.org/officeDocument/2006/relationships/hyperlink" Id="rId102" Target="https://doi.org/10.1093/biomet/asz048" TargetMode="External" /><Relationship Type="http://schemas.openxmlformats.org/officeDocument/2006/relationships/hyperlink" Id="rId83" Target="https://doi.org/10.1093/eurjpc/zwad283" TargetMode="External" /><Relationship Type="http://schemas.openxmlformats.org/officeDocument/2006/relationships/hyperlink" Id="rId98" Target="https://doi.org/10.1111/biom.13197" TargetMode="External" /><Relationship Type="http://schemas.openxmlformats.org/officeDocument/2006/relationships/hyperlink" Id="rId94" Target="https://doi.org/10.1177/1745691616658637" TargetMode="External" /><Relationship Type="http://schemas.openxmlformats.org/officeDocument/2006/relationships/hyperlink" Id="rId85" Target="https://doi.org/10.1177/2515245917745629" TargetMode="External" /><Relationship Type="http://schemas.openxmlformats.org/officeDocument/2006/relationships/hyperlink" Id="rId90" Target="https://doi.org/10.1177/2515245917747646" TargetMode="External" /><Relationship Type="http://schemas.openxmlformats.org/officeDocument/2006/relationships/hyperlink" Id="rId63" Target="https://doi.org/10.1177/2515245920954925" TargetMode="External" /><Relationship Type="http://schemas.openxmlformats.org/officeDocument/2006/relationships/hyperlink" Id="rId100" Target="https://doi.org/10.1186/1742-7622-10-14" TargetMode="External" /><Relationship Type="http://schemas.openxmlformats.org/officeDocument/2006/relationships/hyperlink" Id="rId67" Target="https://doi.org/10.1186/s12915-024-02101-x" TargetMode="External" /><Relationship Type="http://schemas.openxmlformats.org/officeDocument/2006/relationships/hyperlink" Id="rId92" Target="https://doi.org/10.2139/ssrn.2694998" TargetMode="External" /><Relationship Type="http://schemas.openxmlformats.org/officeDocument/2006/relationships/hyperlink" Id="rId79" Target="https://doi.org/10.3389/fpsyg.2023.1094150" TargetMode="External" /><Relationship Type="http://schemas.openxmlformats.org/officeDocument/2006/relationships/hyperlink" Id="rId81" Target="https://doi.org/10.48550/arXiv.2305.08323" TargetMode="External" /><Relationship Type="http://schemas.openxmlformats.org/officeDocument/2006/relationships/hyperlink" Id="rId49" Target="https://doi.org/10.7554/eLife.72185" TargetMode="External" /><Relationship Type="http://schemas.openxmlformats.org/officeDocument/2006/relationships/hyperlink" Id="rId75" Target="https://ebm-helper.cn/en/Conv/HR_RR.html" TargetMode="External" /><Relationship Type="http://schemas.openxmlformats.org/officeDocument/2006/relationships/hyperlink" Id="rId73" Target="https://ebm-helper.cn/en/Conv/OR_RR.html" TargetMode="External" /><Relationship Type="http://schemas.openxmlformats.org/officeDocument/2006/relationships/hyperlink" Id="rId33" Target="https://github.com/lodewijn/ManyAnalystThesisCompendium" TargetMode="External" /><Relationship Type="http://schemas.openxmlformats.org/officeDocument/2006/relationships/hyperlink" Id="rId96" Target="https://www.R-projec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Variation in Many-Analyst Projects: Harmful or Helpful? A Multiverse Approach to Address Different Sources of Variation</dc:title>
  <dc:creator/>
  <cp:keywords/>
  <dcterms:created xsi:type="dcterms:W3CDTF">2026-05-10T10:45:20Z</dcterms:created>
  <dcterms:modified xsi:type="dcterms:W3CDTF">2026-05-10T10:45:20Z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ref_07-05-26.bib</vt:lpwstr>
  </property>
  <property fmtid="{D5CDD505-2E9C-101B-9397-08002B2CF9AE}" pid="4" name="csl">
    <vt:lpwstr>apa.csl</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shorttitle">
    <vt:lpwstr>Variation in Many-Analyst Projects: Harmful or Helpful?</vt:lpwstr>
  </property>
  <property fmtid="{D5CDD505-2E9C-101B-9397-08002B2CF9AE}" pid="10" name="toc-title">
    <vt:lpwstr>Table of contents</vt:lpwstr>
  </property>
</Properties>
</file>