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251" w:rsidRPr="002B181D" w:rsidRDefault="002B181D" w:rsidP="002B181D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RISK CONTROL</w:t>
      </w:r>
      <w:r w:rsidRPr="002B181D">
        <w:rPr>
          <w:rFonts w:ascii="Times New Roman" w:hAnsi="Times New Roman" w:cs="Times New Roman"/>
          <w:color w:val="auto"/>
          <w:sz w:val="24"/>
          <w:szCs w:val="24"/>
        </w:rPr>
        <w:t xml:space="preserve"> COST‑BENEFIT ANALYSIS (CBA)</w:t>
      </w:r>
      <w:r w:rsidRPr="002B181D">
        <w:rPr>
          <w:rFonts w:ascii="Times New Roman" w:hAnsi="Times New Roman" w:cs="Times New Roman"/>
          <w:color w:val="auto"/>
          <w:sz w:val="24"/>
          <w:szCs w:val="24"/>
        </w:rPr>
        <w:br/>
        <w:t>JEDEM E‑COMMERCE PLATFORM</w:t>
      </w:r>
    </w:p>
    <w:p w:rsidR="00AF1251" w:rsidRPr="002B181D" w:rsidRDefault="00AF1251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F1251" w:rsidRPr="002B181D" w:rsidRDefault="002B181D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181D">
        <w:rPr>
          <w:rFonts w:ascii="Times New Roman" w:hAnsi="Times New Roman" w:cs="Times New Roman"/>
          <w:b/>
          <w:sz w:val="24"/>
          <w:szCs w:val="24"/>
        </w:rPr>
        <w:t>OVERVIEW</w:t>
      </w:r>
      <w:r w:rsidR="00772B77" w:rsidRPr="002B181D">
        <w:rPr>
          <w:rFonts w:ascii="Times New Roman" w:hAnsi="Times New Roman" w:cs="Times New Roman"/>
          <w:b/>
          <w:sz w:val="24"/>
          <w:szCs w:val="24"/>
        </w:rPr>
        <w:br/>
      </w:r>
      <w:r w:rsidR="00772B77" w:rsidRPr="002B181D">
        <w:rPr>
          <w:rFonts w:ascii="Times New Roman" w:hAnsi="Times New Roman" w:cs="Times New Roman"/>
          <w:sz w:val="24"/>
          <w:szCs w:val="24"/>
        </w:rPr>
        <w:t xml:space="preserve">This report presents a quantitative cybersecurity cost‑benefit analysis based on the risk assessment and mitigation controls previously identified for the JEDEM E‑Commerce </w:t>
      </w:r>
      <w:r w:rsidR="00772B77" w:rsidRPr="002B181D">
        <w:rPr>
          <w:rFonts w:ascii="Times New Roman" w:hAnsi="Times New Roman" w:cs="Times New Roman"/>
          <w:sz w:val="24"/>
          <w:szCs w:val="24"/>
        </w:rPr>
        <w:t>platform. The goal is to determine the financial return on investment (ROI) for implementing the security controls that protect the company’s crown‑jewel assets.</w:t>
      </w:r>
    </w:p>
    <w:p w:rsidR="00AF1251" w:rsidRPr="002B181D" w:rsidRDefault="002B181D" w:rsidP="002B181D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B181D">
        <w:rPr>
          <w:rFonts w:ascii="Times New Roman" w:hAnsi="Times New Roman" w:cs="Times New Roman"/>
          <w:color w:val="auto"/>
          <w:sz w:val="24"/>
          <w:szCs w:val="24"/>
        </w:rPr>
        <w:t>CROWN JEWELS OF THE E‑COMMERCE COMPANY</w:t>
      </w:r>
    </w:p>
    <w:p w:rsidR="00AF1251" w:rsidRPr="002B181D" w:rsidRDefault="00772B77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181D">
        <w:rPr>
          <w:rFonts w:ascii="Times New Roman" w:hAnsi="Times New Roman" w:cs="Times New Roman"/>
          <w:sz w:val="24"/>
          <w:szCs w:val="24"/>
        </w:rPr>
        <w:t>• Customer personal data</w:t>
      </w:r>
      <w:r w:rsidRPr="002B181D">
        <w:rPr>
          <w:rFonts w:ascii="Times New Roman" w:hAnsi="Times New Roman" w:cs="Times New Roman"/>
          <w:sz w:val="24"/>
          <w:szCs w:val="24"/>
        </w:rPr>
        <w:br/>
        <w:t>• Payment information</w:t>
      </w:r>
      <w:r w:rsidRPr="002B181D">
        <w:rPr>
          <w:rFonts w:ascii="Times New Roman" w:hAnsi="Times New Roman" w:cs="Times New Roman"/>
          <w:sz w:val="24"/>
          <w:szCs w:val="24"/>
        </w:rPr>
        <w:br/>
        <w:t>• E‑comm</w:t>
      </w:r>
      <w:r w:rsidRPr="002B181D">
        <w:rPr>
          <w:rFonts w:ascii="Times New Roman" w:hAnsi="Times New Roman" w:cs="Times New Roman"/>
          <w:sz w:val="24"/>
          <w:szCs w:val="24"/>
        </w:rPr>
        <w:t>erce backend systems (databases, APIs, application logic)</w:t>
      </w:r>
      <w:r w:rsidRPr="002B181D">
        <w:rPr>
          <w:rFonts w:ascii="Times New Roman" w:hAnsi="Times New Roman" w:cs="Times New Roman"/>
          <w:sz w:val="24"/>
          <w:szCs w:val="24"/>
        </w:rPr>
        <w:br/>
        <w:t>• Intellectual property (pricing algorithms, product catalog data)</w:t>
      </w:r>
      <w:r w:rsidRPr="002B181D">
        <w:rPr>
          <w:rFonts w:ascii="Times New Roman" w:hAnsi="Times New Roman" w:cs="Times New Roman"/>
          <w:sz w:val="24"/>
          <w:szCs w:val="24"/>
        </w:rPr>
        <w:br/>
        <w:t>• Operational systems (order fulfillment, logistics, inventory)</w:t>
      </w:r>
      <w:r w:rsidRPr="002B181D">
        <w:rPr>
          <w:rFonts w:ascii="Times New Roman" w:hAnsi="Times New Roman" w:cs="Times New Roman"/>
          <w:sz w:val="24"/>
          <w:szCs w:val="24"/>
        </w:rPr>
        <w:br/>
        <w:t>• Brand reputation and customer trust</w:t>
      </w:r>
    </w:p>
    <w:p w:rsidR="00AF1251" w:rsidRPr="002B181D" w:rsidRDefault="002B181D" w:rsidP="002B181D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B181D">
        <w:rPr>
          <w:rFonts w:ascii="Times New Roman" w:hAnsi="Times New Roman" w:cs="Times New Roman"/>
          <w:color w:val="auto"/>
          <w:sz w:val="24"/>
          <w:szCs w:val="24"/>
        </w:rPr>
        <w:t>RISK CALCULATION FORMULAS</w:t>
      </w:r>
    </w:p>
    <w:p w:rsidR="00AF1251" w:rsidRPr="002B181D" w:rsidRDefault="00772B77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181D">
        <w:rPr>
          <w:rFonts w:ascii="Times New Roman" w:hAnsi="Times New Roman" w:cs="Times New Roman"/>
          <w:b/>
          <w:sz w:val="24"/>
          <w:szCs w:val="24"/>
        </w:rPr>
        <w:t>Tot</w:t>
      </w:r>
      <w:r w:rsidRPr="002B181D">
        <w:rPr>
          <w:rFonts w:ascii="Times New Roman" w:hAnsi="Times New Roman" w:cs="Times New Roman"/>
          <w:b/>
          <w:sz w:val="24"/>
          <w:szCs w:val="24"/>
        </w:rPr>
        <w:t xml:space="preserve">al (Inherent) Risk = </w:t>
      </w:r>
      <w:r w:rsidRPr="002B181D">
        <w:rPr>
          <w:rFonts w:ascii="Times New Roman" w:hAnsi="Times New Roman" w:cs="Times New Roman"/>
          <w:sz w:val="24"/>
          <w:szCs w:val="24"/>
        </w:rPr>
        <w:t>Asset Value × Threat Likelihood × Vulnerability</w:t>
      </w:r>
      <w:r w:rsidRPr="002B181D">
        <w:rPr>
          <w:rFonts w:ascii="Times New Roman" w:hAnsi="Times New Roman" w:cs="Times New Roman"/>
          <w:b/>
          <w:sz w:val="24"/>
          <w:szCs w:val="24"/>
        </w:rPr>
        <w:br/>
        <w:t xml:space="preserve">Residual Risk = </w:t>
      </w:r>
      <w:r w:rsidRPr="002B181D">
        <w:rPr>
          <w:rFonts w:ascii="Times New Roman" w:hAnsi="Times New Roman" w:cs="Times New Roman"/>
          <w:sz w:val="24"/>
          <w:szCs w:val="24"/>
        </w:rPr>
        <w:t xml:space="preserve">Total Risk </w:t>
      </w:r>
      <w:r w:rsidRPr="002B181D">
        <w:rPr>
          <w:rFonts w:ascii="Times New Roman" w:hAnsi="Times New Roman" w:cs="Times New Roman"/>
          <w:sz w:val="24"/>
          <w:szCs w:val="24"/>
        </w:rPr>
        <w:t>−</w:t>
      </w:r>
      <w:r w:rsidR="002B181D">
        <w:rPr>
          <w:rFonts w:ascii="Times New Roman" w:hAnsi="Times New Roman" w:cs="Times New Roman"/>
          <w:sz w:val="24"/>
          <w:szCs w:val="24"/>
        </w:rPr>
        <w:t xml:space="preserve"> Control Effectiveness</w:t>
      </w:r>
      <w:r w:rsidRPr="002B181D">
        <w:rPr>
          <w:rFonts w:ascii="Times New Roman" w:hAnsi="Times New Roman" w:cs="Times New Roman"/>
          <w:b/>
          <w:sz w:val="24"/>
          <w:szCs w:val="24"/>
        </w:rPr>
        <w:br/>
        <w:t xml:space="preserve">Benefit = </w:t>
      </w:r>
      <w:r w:rsidRPr="002B181D">
        <w:rPr>
          <w:rFonts w:ascii="Times New Roman" w:hAnsi="Times New Roman" w:cs="Times New Roman"/>
          <w:sz w:val="24"/>
          <w:szCs w:val="24"/>
        </w:rPr>
        <w:t>Total Risk − Residual Risk</w:t>
      </w:r>
      <w:r w:rsidRPr="002B181D">
        <w:rPr>
          <w:rFonts w:ascii="Times New Roman" w:hAnsi="Times New Roman" w:cs="Times New Roman"/>
          <w:sz w:val="24"/>
          <w:szCs w:val="24"/>
        </w:rPr>
        <w:br/>
      </w:r>
      <w:r w:rsidRPr="002B181D">
        <w:rPr>
          <w:rFonts w:ascii="Times New Roman" w:hAnsi="Times New Roman" w:cs="Times New Roman"/>
          <w:b/>
          <w:sz w:val="24"/>
          <w:szCs w:val="24"/>
        </w:rPr>
        <w:t xml:space="preserve">ROI = </w:t>
      </w:r>
      <w:r w:rsidRPr="002B181D">
        <w:rPr>
          <w:rFonts w:ascii="Times New Roman" w:hAnsi="Times New Roman" w:cs="Times New Roman"/>
          <w:sz w:val="24"/>
          <w:szCs w:val="24"/>
        </w:rPr>
        <w:t>(Benefit − Control Cost) ÷ Control Cost</w:t>
      </w:r>
    </w:p>
    <w:p w:rsidR="00AF1251" w:rsidRPr="002B181D" w:rsidRDefault="002B181D" w:rsidP="002B181D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B181D">
        <w:rPr>
          <w:rFonts w:ascii="Times New Roman" w:hAnsi="Times New Roman" w:cs="Times New Roman"/>
          <w:color w:val="auto"/>
          <w:sz w:val="24"/>
          <w:szCs w:val="24"/>
        </w:rPr>
        <w:t>COST‑BENEFIT RESULTS BY RISK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403"/>
        <w:gridCol w:w="1404"/>
        <w:gridCol w:w="1421"/>
        <w:gridCol w:w="1393"/>
        <w:gridCol w:w="1366"/>
      </w:tblGrid>
      <w:tr w:rsidR="002B181D" w:rsidRPr="002B181D" w:rsidTr="002B181D"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b/>
                <w:sz w:val="24"/>
                <w:szCs w:val="24"/>
              </w:rPr>
              <w:t>Risk Area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b/>
                <w:sz w:val="24"/>
                <w:szCs w:val="24"/>
              </w:rPr>
              <w:t>Total Risk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b/>
                <w:sz w:val="24"/>
                <w:szCs w:val="24"/>
              </w:rPr>
              <w:t>Residual Risk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b/>
                <w:sz w:val="24"/>
                <w:szCs w:val="24"/>
              </w:rPr>
              <w:t>Risk Reduction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b/>
                <w:sz w:val="24"/>
                <w:szCs w:val="24"/>
              </w:rPr>
              <w:t>Control Cost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b/>
                <w:sz w:val="24"/>
                <w:szCs w:val="24"/>
              </w:rPr>
              <w:t>ROI</w:t>
            </w:r>
          </w:p>
        </w:tc>
      </w:tr>
      <w:tr w:rsidR="002B181D" w:rsidRPr="002B181D" w:rsidTr="002B181D"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Data Breach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$350,000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$105,000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$245,000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$60,000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308%</w:t>
            </w:r>
          </w:p>
        </w:tc>
      </w:tr>
      <w:tr w:rsidR="002B181D" w:rsidRPr="002B181D" w:rsidTr="002B181D"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Application Exploits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$280,000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$70,000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$210,000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$40,000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425%</w:t>
            </w:r>
          </w:p>
        </w:tc>
      </w:tr>
      <w:tr w:rsidR="002B181D" w:rsidRPr="002B181D" w:rsidTr="002B181D"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Misuse / Non‑Compliance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$20,000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$10,000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$10,000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$15,000</w:t>
            </w:r>
          </w:p>
        </w:tc>
        <w:tc>
          <w:tcPr>
            <w:tcW w:w="1440" w:type="dxa"/>
          </w:tcPr>
          <w:p w:rsidR="00AF1251" w:rsidRPr="002B181D" w:rsidRDefault="00772B77" w:rsidP="002B1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81D">
              <w:rPr>
                <w:rFonts w:ascii="Times New Roman" w:hAnsi="Times New Roman" w:cs="Times New Roman"/>
                <w:sz w:val="24"/>
                <w:szCs w:val="24"/>
              </w:rPr>
              <w:t>-33%</w:t>
            </w:r>
          </w:p>
        </w:tc>
      </w:tr>
    </w:tbl>
    <w:p w:rsidR="00AF1251" w:rsidRPr="002B181D" w:rsidRDefault="002B181D" w:rsidP="002B181D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B181D">
        <w:rPr>
          <w:rFonts w:ascii="Times New Roman" w:hAnsi="Times New Roman" w:cs="Times New Roman"/>
          <w:color w:val="auto"/>
          <w:sz w:val="24"/>
          <w:szCs w:val="24"/>
        </w:rPr>
        <w:lastRenderedPageBreak/>
        <w:t>EXECUTIVE INTERPRETATION</w:t>
      </w:r>
    </w:p>
    <w:p w:rsidR="00AF1251" w:rsidRPr="002B181D" w:rsidRDefault="00772B77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181D">
        <w:rPr>
          <w:rFonts w:ascii="Times New Roman" w:hAnsi="Times New Roman" w:cs="Times New Roman"/>
          <w:sz w:val="24"/>
          <w:szCs w:val="24"/>
        </w:rPr>
        <w:t>• Application Exploit Controls (WAF, SSL, Monitoring) deliver the highest ROI at 425%.</w:t>
      </w:r>
      <w:r w:rsidRPr="002B181D">
        <w:rPr>
          <w:rFonts w:ascii="Times New Roman" w:hAnsi="Times New Roman" w:cs="Times New Roman"/>
          <w:sz w:val="24"/>
          <w:szCs w:val="24"/>
        </w:rPr>
        <w:br/>
        <w:t>• Data Breach Controls (Zero Trust, MFA, SIEM) deliver a strong ROI of 308%.</w:t>
      </w:r>
      <w:r w:rsidRPr="002B181D">
        <w:rPr>
          <w:rFonts w:ascii="Times New Roman" w:hAnsi="Times New Roman" w:cs="Times New Roman"/>
          <w:sz w:val="24"/>
          <w:szCs w:val="24"/>
        </w:rPr>
        <w:br/>
        <w:t>• Compliance controls have the lowest ROI but remain necessary for governance</w:t>
      </w:r>
      <w:r w:rsidRPr="002B181D">
        <w:rPr>
          <w:rFonts w:ascii="Times New Roman" w:hAnsi="Times New Roman" w:cs="Times New Roman"/>
          <w:sz w:val="24"/>
          <w:szCs w:val="24"/>
        </w:rPr>
        <w:t xml:space="preserve"> and risk reduction.</w:t>
      </w:r>
      <w:r w:rsidRPr="002B181D">
        <w:rPr>
          <w:rFonts w:ascii="Times New Roman" w:hAnsi="Times New Roman" w:cs="Times New Roman"/>
          <w:sz w:val="24"/>
          <w:szCs w:val="24"/>
        </w:rPr>
        <w:br/>
      </w:r>
      <w:r w:rsidR="002B181D">
        <w:rPr>
          <w:rFonts w:ascii="Times New Roman" w:hAnsi="Times New Roman" w:cs="Times New Roman"/>
          <w:b/>
          <w:i/>
          <w:sz w:val="24"/>
          <w:szCs w:val="24"/>
        </w:rPr>
        <w:t xml:space="preserve">Note: </w:t>
      </w:r>
      <w:r w:rsidRPr="002B181D">
        <w:rPr>
          <w:rFonts w:ascii="Times New Roman" w:hAnsi="Times New Roman" w:cs="Times New Roman"/>
          <w:b/>
          <w:i/>
          <w:sz w:val="24"/>
          <w:szCs w:val="24"/>
        </w:rPr>
        <w:t>Combined, these controls reduce over 80% of total cybersecurity exposure.</w:t>
      </w:r>
    </w:p>
    <w:p w:rsidR="00AF1251" w:rsidRPr="002B181D" w:rsidRDefault="002B181D" w:rsidP="002B181D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B181D">
        <w:rPr>
          <w:rFonts w:ascii="Times New Roman" w:hAnsi="Times New Roman" w:cs="Times New Roman"/>
          <w:color w:val="auto"/>
          <w:sz w:val="24"/>
          <w:szCs w:val="24"/>
        </w:rPr>
        <w:t>FINAL RECOMMENDATION</w:t>
      </w:r>
    </w:p>
    <w:p w:rsidR="00AF1251" w:rsidRDefault="00772B77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181D">
        <w:rPr>
          <w:rFonts w:ascii="Times New Roman" w:hAnsi="Times New Roman" w:cs="Times New Roman"/>
          <w:sz w:val="24"/>
          <w:szCs w:val="24"/>
        </w:rPr>
        <w:t>The company should prioritize implementation of high‑ROI controls such as WAF, Zero Trust, MFA, SIEM, and secure coding practices. These con</w:t>
      </w:r>
      <w:r w:rsidRPr="002B181D">
        <w:rPr>
          <w:rFonts w:ascii="Times New Roman" w:hAnsi="Times New Roman" w:cs="Times New Roman"/>
          <w:sz w:val="24"/>
          <w:szCs w:val="24"/>
        </w:rPr>
        <w:t>trols provide the strongest protection to customer data, payment systems, and application integrity while offering significant financial and operational benefit.</w:t>
      </w:r>
    </w:p>
    <w:p w:rsidR="002B181D" w:rsidRDefault="002B181D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B181D" w:rsidRPr="002B181D" w:rsidRDefault="002B181D" w:rsidP="002B18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2B181D">
        <w:rPr>
          <w:rFonts w:ascii="Times New Roman" w:hAnsi="Times New Roman" w:cs="Times New Roman"/>
          <w:b/>
          <w:sz w:val="24"/>
          <w:szCs w:val="24"/>
        </w:rPr>
        <w:t>GROUP MEMBERS</w:t>
      </w:r>
    </w:p>
    <w:bookmarkEnd w:id="0"/>
    <w:p w:rsidR="002B181D" w:rsidRPr="00FB286C" w:rsidRDefault="002B181D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286C">
        <w:rPr>
          <w:rFonts w:ascii="Times New Roman" w:hAnsi="Times New Roman" w:cs="Times New Roman"/>
          <w:sz w:val="24"/>
          <w:szCs w:val="24"/>
        </w:rPr>
        <w:t>1. JESSE FELDBERG</w:t>
      </w:r>
    </w:p>
    <w:p w:rsidR="002B181D" w:rsidRPr="00FB286C" w:rsidRDefault="002B181D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286C">
        <w:rPr>
          <w:rFonts w:ascii="Times New Roman" w:hAnsi="Times New Roman" w:cs="Times New Roman"/>
          <w:sz w:val="24"/>
          <w:szCs w:val="24"/>
        </w:rPr>
        <w:t>2. DANIEL LODI</w:t>
      </w:r>
    </w:p>
    <w:p w:rsidR="002B181D" w:rsidRPr="00FB286C" w:rsidRDefault="002B181D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286C">
        <w:rPr>
          <w:rFonts w:ascii="Times New Roman" w:hAnsi="Times New Roman" w:cs="Times New Roman"/>
          <w:sz w:val="24"/>
          <w:szCs w:val="24"/>
        </w:rPr>
        <w:t>3. OWEN CHOKOZA</w:t>
      </w:r>
    </w:p>
    <w:p w:rsidR="002B181D" w:rsidRPr="00FB286C" w:rsidRDefault="002B181D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286C">
        <w:rPr>
          <w:rFonts w:ascii="Times New Roman" w:hAnsi="Times New Roman" w:cs="Times New Roman"/>
          <w:sz w:val="24"/>
          <w:szCs w:val="24"/>
        </w:rPr>
        <w:t>4. ERASMUS TSURO</w:t>
      </w:r>
    </w:p>
    <w:p w:rsidR="002B181D" w:rsidRPr="00FB286C" w:rsidRDefault="002B181D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286C">
        <w:rPr>
          <w:rFonts w:ascii="Times New Roman" w:hAnsi="Times New Roman" w:cs="Times New Roman"/>
          <w:sz w:val="24"/>
          <w:szCs w:val="24"/>
        </w:rPr>
        <w:t>5. MICHEAL BRIAN MHLANGA</w:t>
      </w:r>
    </w:p>
    <w:p w:rsidR="002B181D" w:rsidRPr="002B181D" w:rsidRDefault="002B181D" w:rsidP="002B18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B181D" w:rsidRPr="002B181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B77" w:rsidRDefault="00772B77" w:rsidP="002B181D">
      <w:pPr>
        <w:spacing w:after="0" w:line="240" w:lineRule="auto"/>
      </w:pPr>
      <w:r>
        <w:separator/>
      </w:r>
    </w:p>
  </w:endnote>
  <w:endnote w:type="continuationSeparator" w:id="0">
    <w:p w:rsidR="00772B77" w:rsidRDefault="00772B77" w:rsidP="002B1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81D" w:rsidRDefault="002B181D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1</w:t>
    </w:r>
    <w:r>
      <w:rPr>
        <w:caps/>
        <w:noProof/>
        <w:color w:val="4F81BD" w:themeColor="accent1"/>
      </w:rPr>
      <w:fldChar w:fldCharType="end"/>
    </w:r>
  </w:p>
  <w:p w:rsidR="002B181D" w:rsidRDefault="002B18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B77" w:rsidRDefault="00772B77" w:rsidP="002B181D">
      <w:pPr>
        <w:spacing w:after="0" w:line="240" w:lineRule="auto"/>
      </w:pPr>
      <w:r>
        <w:separator/>
      </w:r>
    </w:p>
  </w:footnote>
  <w:footnote w:type="continuationSeparator" w:id="0">
    <w:p w:rsidR="00772B77" w:rsidRDefault="00772B77" w:rsidP="002B1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181D"/>
    <w:rsid w:val="00326F90"/>
    <w:rsid w:val="00772B77"/>
    <w:rsid w:val="00AA1D8D"/>
    <w:rsid w:val="00AF125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6BC30"/>
  <w14:defaultImageDpi w14:val="300"/>
  <w15:docId w15:val="{AE99014D-2435-4D68-AB85-4598458D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FD1F5C-53A1-48BC-8A6D-19C72D253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Lodi Daniel</cp:lastModifiedBy>
  <cp:revision>2</cp:revision>
  <dcterms:created xsi:type="dcterms:W3CDTF">2013-12-23T23:15:00Z</dcterms:created>
  <dcterms:modified xsi:type="dcterms:W3CDTF">2025-12-12T04:21:00Z</dcterms:modified>
  <cp:category/>
</cp:coreProperties>
</file>