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Origination Team Architecture Guide</w:t>
      </w:r>
    </w:p>
    <w:p>
      <w:pPr>
        <w:pStyle w:val="Subtitle"/>
      </w:pPr>
      <w:r>
        <w:t>Common React + Spring Boot + H2 structure for Customer, Maker, and Checker modules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473EA"/>
          <w:left w:val="single" w:sz="8" w:color="0473EA"/>
          <w:bottom w:val="single" w:sz="8" w:color="0473EA"/>
          <w:right w:val="single" w:sz="8" w:color="0473EA"/>
          <w:insideH w:val="single" w:sz="8" w:color="0473EA"/>
          <w:insideV w:val="single" w:sz="8" w:color="0473EA"/>
        </w:tblBorders>
      </w:tblPr>
      <w:tblGrid>
        <w:gridCol w:w="9360"/>
      </w:tblGrid>
      <w:tr>
        <w:tc>
          <w:tcPr>
            <w:tcW w:type="dxa" w:w="9360"/>
            <w:shd w:fill="E8F0F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Architecture rule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The folder structure and layer flow are common to the complete Loan Origination system. Customer, Maker, and Checker are team roles and functional modules; they do not create three separate backend architectures.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Purpose of this guide</w:t>
      </w:r>
    </w:p>
    <w:p>
      <w:r>
        <w:t>This guide defines the shared project structure and the full request-response flow that every teammate must follow. It is intentionally role-neutral at the backend layer, so all modules use the same controller, DTO, entity, service, repository, and database architecture.</w:t>
      </w:r>
    </w:p>
    <w:p>
      <w:pPr>
        <w:pStyle w:val="Heading1"/>
        <w:keepNext/>
      </w:pPr>
      <w:r>
        <w:t>2. Team roles and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8"/>
          <w:left w:val="single" w:sz="5" w:color="D9DEE8"/>
          <w:bottom w:val="single" w:sz="5" w:color="D9DEE8"/>
          <w:right w:val="single" w:sz="5" w:color="D9DEE8"/>
          <w:insideH w:val="single" w:sz="5" w:color="D9DEE8"/>
          <w:insideV w:val="single" w:sz="5" w:color="D9DEE8"/>
        </w:tblBorders>
      </w:tblPr>
      <w:tblGrid>
        <w:gridCol w:w="1655"/>
        <w:gridCol w:w="3456"/>
        <w:gridCol w:w="4248"/>
      </w:tblGrid>
      <w:tr>
        <w:trPr>
          <w:tblHeader w:val="true"/>
        </w:trPr>
        <w:tc>
          <w:tcPr>
            <w:tcW w:type="dxa" w:w="1655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Main responsibility</w:t>
            </w:r>
          </w:p>
        </w:tc>
        <w:tc>
          <w:tcPr>
            <w:tcW w:type="dxa" w:w="4248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Typical actions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Customer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Creates and follows a loan application.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Apply, upload documents, view comments, modify, resubmit, and track status.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Maker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Performs the first operational review.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Verify information, request modifications, add comments, accept, or reject at Maker stage.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Checker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Performs final verification and decision.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Review Maker outcome, approve or reject, and complete the final decision.</w:t>
            </w:r>
          </w:p>
        </w:tc>
      </w:tr>
    </w:tbl>
    <w:p>
      <w:r>
        <w:t>Although the screens and permitted actions differ by role, all requests must pass through the same full-stack layers.</w:t>
      </w:r>
    </w:p>
    <w:p>
      <w:pPr>
        <w:pStyle w:val="Heading1"/>
        <w:keepNext/>
      </w:pPr>
      <w:r>
        <w:t>3. Common team project structure</w:t>
      </w:r>
    </w:p>
    <w:p>
      <w:r>
        <w:t>The frontend may group role-specific UI code under Customer, Maker, and Checker. The backend remains layer-based and common to all roles.</w:t>
      </w:r>
    </w:p>
    <w:p>
      <w:pPr>
        <w:pStyle w:val="ArchitectureTree"/>
        <w:shd w:fill="F3F5F8"/>
      </w:pPr>
      <w:r>
        <w:rPr>
          <w:rFonts w:ascii="Consolas" w:hAnsi="Consolas"/>
          <w:b w:val="0"/>
          <w:i w:val="0"/>
          <w:color w:val="202124"/>
          <w:sz w:val="18"/>
        </w:rPr>
        <w:t>loan-origination/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├── frontend/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├── public/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└── src/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components/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customer/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maker/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checker/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└── common/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pages/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customer/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maker/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└── checker/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services/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customer/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├── maker/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│   └── checker/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routes/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styles/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├── constants/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       └── assets/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│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>└── backend/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└── src/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├── main/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├── java/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└── com/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└── loanorigination/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controller/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dto/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│   ├── request/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│   └── response/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entity/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service/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repository/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exception/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├── enums/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│           └── config/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│   └── resources/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└── test/</w:t>
      </w:r>
      <w:r>
        <w:br/>
      </w:r>
      <w:r>
        <w:rPr>
          <w:rFonts w:ascii="Consolas" w:hAnsi="Consolas"/>
          <w:b w:val="0"/>
          <w:i w:val="0"/>
          <w:color w:val="202124"/>
          <w:sz w:val="18"/>
        </w:rPr>
        <w:t xml:space="preserve">            └── java/</w:t>
      </w:r>
    </w:p>
    <w:p>
      <w:pPr>
        <w:pStyle w:val="Heading1"/>
        <w:keepNext/>
      </w:pPr>
      <w:r>
        <w:t>4. Why the structure is common</w:t>
      </w:r>
    </w:p>
    <w:p>
      <w:pPr>
        <w:pStyle w:val="ListBullet"/>
        <w:spacing w:after="80"/>
        <w:ind w:left="547" w:hanging="274"/>
      </w:pPr>
      <w:r>
        <w:t>The Customer, Maker, and Checker modules work on the same loan-application lifecycle.</w:t>
      </w:r>
    </w:p>
    <w:p>
      <w:pPr>
        <w:pStyle w:val="ListBullet"/>
        <w:spacing w:after="80"/>
        <w:ind w:left="547" w:hanging="274"/>
      </w:pPr>
      <w:r>
        <w:t>A common backend prevents duplicate controller, service, repository, and database designs.</w:t>
      </w:r>
    </w:p>
    <w:p>
      <w:pPr>
        <w:pStyle w:val="ListBullet"/>
        <w:spacing w:after="80"/>
        <w:ind w:left="547" w:hanging="274"/>
      </w:pPr>
      <w:r>
        <w:t>Role-specific access rules belong in business logic and security checks, not in a separate architecture.</w:t>
      </w:r>
    </w:p>
    <w:p>
      <w:pPr>
        <w:pStyle w:val="ListBullet"/>
        <w:spacing w:after="80"/>
        <w:ind w:left="547" w:hanging="274"/>
      </w:pPr>
      <w:r>
        <w:t>Shared DTO and entity conventions keep API requests and responses consistent across the team.</w:t>
      </w:r>
    </w:p>
    <w:p>
      <w:pPr>
        <w:pStyle w:val="ListBullet"/>
        <w:spacing w:after="80"/>
        <w:ind w:left="547" w:hanging="274"/>
      </w:pPr>
      <w:r>
        <w:t>All teammates can develop independently while preserving one predictable integration flow.</w:t>
      </w:r>
    </w:p>
    <w:p>
      <w:pPr>
        <w:pStyle w:val="Heading1"/>
        <w:keepNext/>
      </w:pPr>
      <w:r>
        <w:t>5. Frontend folder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8"/>
          <w:left w:val="single" w:sz="5" w:color="D9DEE8"/>
          <w:bottom w:val="single" w:sz="5" w:color="D9DEE8"/>
          <w:right w:val="single" w:sz="5" w:color="D9DEE8"/>
          <w:insideH w:val="single" w:sz="5" w:color="D9DEE8"/>
          <w:insideV w:val="single" w:sz="5" w:color="D9DEE8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7416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components/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Reusable UI sections. Role-specific components are separated into customer, maker, and checker; shared controls belong in common.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pages/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Complete screens connected to routes. Event-handler functions commonly live in these page components.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services/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Frontend service functions that use Axios to call Spring Boot API endpoints. They contain HTTP operations, not backend business logic.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routes/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Maps URLs to Customer, Maker, and Checker pages and controls navigation.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styles/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CSS files used by pages and components.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constants/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Fixed UI labels, status mappings, and other non-changing frontend values.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assets/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Images, icons, and static frontend resources.</w:t>
            </w:r>
          </w:p>
        </w:tc>
      </w:tr>
    </w:tbl>
    <w:p>
      <w:pPr>
        <w:pStyle w:val="Heading1"/>
        <w:keepNext/>
      </w:pPr>
      <w:r>
        <w:t>6. Backend package responsibilities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8"/>
          <w:left w:val="single" w:sz="5" w:color="D9DEE8"/>
          <w:bottom w:val="single" w:sz="5" w:color="D9DEE8"/>
          <w:right w:val="single" w:sz="5" w:color="D9DEE8"/>
          <w:insideH w:val="single" w:sz="5" w:color="D9DEE8"/>
          <w:insideV w:val="single" w:sz="5" w:color="D9DEE8"/>
        </w:tblBorders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7416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controller/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Defines API endpoints, receives Request DTOs, calls the service, converts returned entities to Response DTOs, and returns ResponseEntity.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dto/request/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Defines the JSON input accepted from React. Request DTOs protect the entity from direct browser input.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dto/response/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Defines the JSON output returned to React. Response DTOs expose only the required fields.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entity/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Represents persistent domain data mapped to H2 database tables using JPA annotations.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service/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business rules, validations, workflow decisions, and repository calls.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repository/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JPA data-access interfaces that read and write entities in H2.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exception/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application exceptions and common HTTP error handling.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enums/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controlled values such as role, status, stage, comment status, and document type.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config/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application configuration such as CORS and other shared settings.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resources/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Contains application properties, including H2 and H2 Console configuration.</w:t>
            </w:r>
          </w:p>
        </w:tc>
      </w:tr>
    </w:tbl>
    <w:p>
      <w:pPr>
        <w:pStyle w:val="Heading1"/>
        <w:keepNext/>
      </w:pPr>
      <w:r>
        <w:t>7. Request architecture: React to H2</w:t>
      </w:r>
    </w:p>
    <w:p>
      <w:r>
        <w:t>Every create, update, view, review, comment, document, and tracking operation must use this direction.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Component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Displays the screen and captures the user action.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Event Handler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Collects component state and calls the appropriate frontend service function.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Service Function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Uses Axios to send an HTTP request containing JSON or multipart data.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37333"/>
          <w:left w:val="single" w:sz="7" w:color="137333"/>
          <w:bottom w:val="single" w:sz="7" w:color="137333"/>
          <w:right w:val="single" w:sz="7" w:color="137333"/>
          <w:insideH w:val="single" w:sz="7" w:color="137333"/>
          <w:insideV w:val="single" w:sz="7" w:color="137333"/>
        </w:tblBorders>
      </w:tblPr>
      <w:tblGrid>
        <w:gridCol w:w="792"/>
        <w:gridCol w:w="8568"/>
      </w:tblGrid>
      <w:tr>
        <w:tc>
          <w:tcPr>
            <w:tcW w:type="dxa" w:w="792"/>
            <w:shd w:fill="137333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568"/>
            <w:shd w:fill="E6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Spring Controller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Matches the endpoint and receives input through a Request DTO.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37333"/>
          <w:left w:val="single" w:sz="7" w:color="137333"/>
          <w:bottom w:val="single" w:sz="7" w:color="137333"/>
          <w:right w:val="single" w:sz="7" w:color="137333"/>
          <w:insideH w:val="single" w:sz="7" w:color="137333"/>
          <w:insideV w:val="single" w:sz="7" w:color="137333"/>
        </w:tblBorders>
      </w:tblPr>
      <w:tblGrid>
        <w:gridCol w:w="792"/>
        <w:gridCol w:w="8568"/>
      </w:tblGrid>
      <w:tr>
        <w:tc>
          <w:tcPr>
            <w:tcW w:type="dxa" w:w="792"/>
            <w:shd w:fill="137333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568"/>
            <w:shd w:fill="E6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Request DTO to Entity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The controller transforms validated request data into an entity object.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8A6500"/>
          <w:left w:val="single" w:sz="7" w:color="8A6500"/>
          <w:bottom w:val="single" w:sz="7" w:color="8A6500"/>
          <w:right w:val="single" w:sz="7" w:color="8A6500"/>
          <w:insideH w:val="single" w:sz="7" w:color="8A6500"/>
          <w:insideV w:val="single" w:sz="7" w:color="8A6500"/>
        </w:tblBorders>
      </w:tblPr>
      <w:tblGrid>
        <w:gridCol w:w="792"/>
        <w:gridCol w:w="8568"/>
      </w:tblGrid>
      <w:tr>
        <w:tc>
          <w:tcPr>
            <w:tcW w:type="dxa" w:w="792"/>
            <w:shd w:fill="8A6500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568"/>
            <w:shd w:fill="FEF7E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Spring Service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Applies business rules and calls the appropriate repository.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8A6500"/>
          <w:left w:val="single" w:sz="7" w:color="8A6500"/>
          <w:bottom w:val="single" w:sz="7" w:color="8A6500"/>
          <w:right w:val="single" w:sz="7" w:color="8A6500"/>
          <w:insideH w:val="single" w:sz="7" w:color="8A6500"/>
          <w:insideV w:val="single" w:sz="7" w:color="8A6500"/>
        </w:tblBorders>
      </w:tblPr>
      <w:tblGrid>
        <w:gridCol w:w="792"/>
        <w:gridCol w:w="8568"/>
      </w:tblGrid>
      <w:tr>
        <w:tc>
          <w:tcPr>
            <w:tcW w:type="dxa" w:w="792"/>
            <w:shd w:fill="8A6500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568"/>
            <w:shd w:fill="FEF7E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Repository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Runs JPA data-access operations.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3261E"/>
          <w:left w:val="single" w:sz="7" w:color="B3261E"/>
          <w:bottom w:val="single" w:sz="7" w:color="B3261E"/>
          <w:right w:val="single" w:sz="7" w:color="B3261E"/>
          <w:insideH w:val="single" w:sz="7" w:color="B3261E"/>
          <w:insideV w:val="single" w:sz="7" w:color="B3261E"/>
        </w:tblBorders>
      </w:tblPr>
      <w:tblGrid>
        <w:gridCol w:w="792"/>
        <w:gridCol w:w="8568"/>
      </w:tblGrid>
      <w:tr>
        <w:tc>
          <w:tcPr>
            <w:tcW w:type="dxa" w:w="792"/>
            <w:shd w:fill="B3261E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8</w:t>
            </w:r>
          </w:p>
        </w:tc>
        <w:tc>
          <w:tcPr>
            <w:tcW w:type="dxa" w:w="8568"/>
            <w:shd w:fill="FCE8E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H2 Database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Stores or retrieves the persistent entity data.</w:t>
            </w:r>
          </w:p>
        </w:tc>
      </w:tr>
    </w:tbl>
    <w:p>
      <w:pPr>
        <w:spacing w:before="0" w:after="40"/>
        <w:jc w:val="center"/>
      </w:pPr>
      <w:r>
        <w:rPr>
          <w:rFonts w:ascii="Calibri" w:hAnsi="Calibri"/>
          <w:b/>
          <w:i w:val="0"/>
          <w:color w:val="5F6368"/>
          <w:sz w:val="17"/>
        </w:rPr>
        <w:t>Response begins here</w:t>
      </w:r>
    </w:p>
    <w:p>
      <w:r>
        <w:br w:type="page"/>
      </w:r>
    </w:p>
    <w:p>
      <w:pPr>
        <w:pStyle w:val="Heading1"/>
        <w:keepNext/>
      </w:pPr>
      <w:r>
        <w:t>8. Response architecture: H2 to React</w:t>
      </w:r>
    </w:p>
    <w:p>
      <w:r>
        <w:t>The response must return through the same layers in reverse. The controller must not send the entity directly to React.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3261E"/>
          <w:left w:val="single" w:sz="7" w:color="B3261E"/>
          <w:bottom w:val="single" w:sz="7" w:color="B3261E"/>
          <w:right w:val="single" w:sz="7" w:color="B3261E"/>
          <w:insideH w:val="single" w:sz="7" w:color="B3261E"/>
          <w:insideV w:val="single" w:sz="7" w:color="B3261E"/>
        </w:tblBorders>
      </w:tblPr>
      <w:tblGrid>
        <w:gridCol w:w="792"/>
        <w:gridCol w:w="8568"/>
      </w:tblGrid>
      <w:tr>
        <w:tc>
          <w:tcPr>
            <w:tcW w:type="dxa" w:w="792"/>
            <w:shd w:fill="B3261E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568"/>
            <w:shd w:fill="FCE8E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H2 Database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Returns stored data to the repository.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8A6500"/>
          <w:left w:val="single" w:sz="7" w:color="8A6500"/>
          <w:bottom w:val="single" w:sz="7" w:color="8A6500"/>
          <w:right w:val="single" w:sz="7" w:color="8A6500"/>
          <w:insideH w:val="single" w:sz="7" w:color="8A6500"/>
          <w:insideV w:val="single" w:sz="7" w:color="8A6500"/>
        </w:tblBorders>
      </w:tblPr>
      <w:tblGrid>
        <w:gridCol w:w="792"/>
        <w:gridCol w:w="8568"/>
      </w:tblGrid>
      <w:tr>
        <w:tc>
          <w:tcPr>
            <w:tcW w:type="dxa" w:w="792"/>
            <w:shd w:fill="8A6500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568"/>
            <w:shd w:fill="FEF7E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Repository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Returns an entity or a collection of entities to the service.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8A6500"/>
          <w:left w:val="single" w:sz="7" w:color="8A6500"/>
          <w:bottom w:val="single" w:sz="7" w:color="8A6500"/>
          <w:right w:val="single" w:sz="7" w:color="8A6500"/>
          <w:insideH w:val="single" w:sz="7" w:color="8A6500"/>
          <w:insideV w:val="single" w:sz="7" w:color="8A6500"/>
        </w:tblBorders>
      </w:tblPr>
      <w:tblGrid>
        <w:gridCol w:w="792"/>
        <w:gridCol w:w="8568"/>
      </w:tblGrid>
      <w:tr>
        <w:tc>
          <w:tcPr>
            <w:tcW w:type="dxa" w:w="792"/>
            <w:shd w:fill="8A6500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568"/>
            <w:shd w:fill="FEF7E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Spring Service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Returns the processed entity result to the controller.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37333"/>
          <w:left w:val="single" w:sz="7" w:color="137333"/>
          <w:bottom w:val="single" w:sz="7" w:color="137333"/>
          <w:right w:val="single" w:sz="7" w:color="137333"/>
          <w:insideH w:val="single" w:sz="7" w:color="137333"/>
          <w:insideV w:val="single" w:sz="7" w:color="137333"/>
        </w:tblBorders>
      </w:tblPr>
      <w:tblGrid>
        <w:gridCol w:w="792"/>
        <w:gridCol w:w="8568"/>
      </w:tblGrid>
      <w:tr>
        <w:tc>
          <w:tcPr>
            <w:tcW w:type="dxa" w:w="792"/>
            <w:shd w:fill="137333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568"/>
            <w:shd w:fill="E6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Entity to Response DTO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The controller converts the entity result into the required response shape.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137333"/>
          <w:left w:val="single" w:sz="7" w:color="137333"/>
          <w:bottom w:val="single" w:sz="7" w:color="137333"/>
          <w:right w:val="single" w:sz="7" w:color="137333"/>
          <w:insideH w:val="single" w:sz="7" w:color="137333"/>
          <w:insideV w:val="single" w:sz="7" w:color="137333"/>
        </w:tblBorders>
      </w:tblPr>
      <w:tblGrid>
        <w:gridCol w:w="792"/>
        <w:gridCol w:w="8568"/>
      </w:tblGrid>
      <w:tr>
        <w:tc>
          <w:tcPr>
            <w:tcW w:type="dxa" w:w="792"/>
            <w:shd w:fill="137333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568"/>
            <w:shd w:fill="E6F4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ResponseEntity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The controller returns Response DTO data with the correct HTTP status.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Service Function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Axios receives the JSON response and returns the response data.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7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Event Handler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Stores the result in React state and handles errors.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/>
          <w:b/>
          <w:i w:val="0"/>
          <w:color w:val="0473EA"/>
          <w:sz w:val="24"/>
        </w:rPr>
        <w:t>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0473EA"/>
          <w:left w:val="single" w:sz="7" w:color="0473EA"/>
          <w:bottom w:val="single" w:sz="7" w:color="0473EA"/>
          <w:right w:val="single" w:sz="7" w:color="0473EA"/>
          <w:insideH w:val="single" w:sz="7" w:color="0473EA"/>
          <w:insideV w:val="single" w:sz="7" w:color="0473EA"/>
        </w:tblBorders>
      </w:tblPr>
      <w:tblGrid>
        <w:gridCol w:w="792"/>
        <w:gridCol w:w="8568"/>
      </w:tblGrid>
      <w:tr>
        <w:tc>
          <w:tcPr>
            <w:tcW w:type="dxa" w:w="792"/>
            <w:shd w:fill="0473EA"/>
            <w:tcMar>
              <w:top w:w="110" w:type="dxa"/>
              <w:start w:w="70" w:type="dxa"/>
              <w:bottom w:w="11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8</w:t>
            </w:r>
          </w:p>
        </w:tc>
        <w:tc>
          <w:tcPr>
            <w:tcW w:type="dxa" w:w="8568"/>
            <w:shd w:fill="E8F0F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React Component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F6368"/>
                <w:sz w:val="18"/>
              </w:rPr>
              <w:t>Re-renders and displays the updated information.</w:t>
            </w:r>
          </w:p>
        </w:tc>
      </w:tr>
    </w:tbl>
    <w:p>
      <w:pPr>
        <w:spacing w:before="0" w:after="0"/>
        <w:jc w:val="center"/>
      </w:pPr>
    </w:p>
    <w:p>
      <w:pPr>
        <w:pStyle w:val="Heading1"/>
        <w:keepNext/>
      </w:pPr>
      <w:r>
        <w:t>9. H2 database position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8A6500"/>
          <w:left w:val="single" w:sz="8" w:color="8A6500"/>
          <w:bottom w:val="single" w:sz="8" w:color="8A6500"/>
          <w:right w:val="single" w:sz="8" w:color="8A6500"/>
          <w:insideH w:val="single" w:sz="8" w:color="8A6500"/>
          <w:insideV w:val="single" w:sz="8" w:color="8A6500"/>
        </w:tblBorders>
      </w:tblPr>
      <w:tblGrid>
        <w:gridCol w:w="9360"/>
      </w:tblGrid>
      <w:tr>
        <w:tc>
          <w:tcPr>
            <w:tcW w:type="dxa" w:w="9360"/>
            <w:shd w:fill="FEF7E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H2 is the persistence layer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H2 sits behind the repository. Controllers and services must never execute H2 queries directly. The repository is the only application layer that communicates with the database.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8"/>
          <w:left w:val="single" w:sz="5" w:color="D9DEE8"/>
          <w:bottom w:val="single" w:sz="5" w:color="D9DEE8"/>
          <w:right w:val="single" w:sz="5" w:color="D9DEE8"/>
          <w:insideH w:val="single" w:sz="5" w:color="D9DEE8"/>
          <w:insideV w:val="single" w:sz="5" w:color="D9DEE8"/>
        </w:tblBorders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128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Location or rule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Configuration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backend/src/main/resources/application.properties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H2 Console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Enabled through Spring Boot configuration and opened through the configured console path.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JPA entities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Mapped from the entity package to H2 tables.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Data access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Performed through repository interfaces.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Development use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In-memory H2 data is cleared when the application stops unless file-based H2 is configured.</w:t>
            </w:r>
          </w:p>
        </w:tc>
      </w:tr>
    </w:tbl>
    <w:p>
      <w:pPr>
        <w:pStyle w:val="Heading1"/>
        <w:keepNext/>
      </w:pPr>
      <w:r>
        <w:t>10. Architecture rules for all teammates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8"/>
          <w:left w:val="single" w:sz="5" w:color="D9DEE8"/>
          <w:bottom w:val="single" w:sz="5" w:color="D9DEE8"/>
          <w:right w:val="single" w:sz="5" w:color="D9DEE8"/>
          <w:insideH w:val="single" w:sz="5" w:color="D9DEE8"/>
          <w:insideV w:val="single" w:sz="5" w:color="D9DEE8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6480"/>
            <w:shd w:fill="001E8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 practice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skip the React service layer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Components and handlers should call a frontend service function instead of writing repeated Axios calls everywhere.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send entities from React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React sends Request DTO-shaped JSON.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receive entities in controllers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Controller request bodies use Request DTOs.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place business logic in controllers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Business validation and workflow decisions belong in the Spring service layer.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access H2 from services directly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Services call repositories; repositories communicate with H2.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Do not return entities to React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Controller converts entities to Response DTOs.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Return the HTTP status with data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Controller returns ResponseEntity containing a Response DTO or collection.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Preserve one common backend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Customer, Maker, and Checker features use the same backend layers and conventions.</w:t>
            </w:r>
          </w:p>
        </w:tc>
      </w:tr>
    </w:tbl>
    <w:p>
      <w:pPr>
        <w:pStyle w:val="Heading1"/>
        <w:keepNext/>
      </w:pPr>
      <w:r>
        <w:t>11. Team implementation guide</w:t>
      </w:r>
    </w:p>
    <w:p>
      <w:pPr>
        <w:pStyle w:val="ListBullet"/>
        <w:spacing w:after="80"/>
        <w:ind w:left="547" w:hanging="274"/>
      </w:pPr>
      <w:r>
        <w:t>Confirm the common folder structure before creating feature files.</w:t>
      </w:r>
    </w:p>
    <w:p>
      <w:pPr>
        <w:pStyle w:val="ListBullet"/>
        <w:spacing w:after="80"/>
        <w:ind w:left="547" w:hanging="274"/>
      </w:pPr>
      <w:r>
        <w:t>Each teammate places role-specific React code under the appropriate Customer, Maker, or Checker frontend folder.</w:t>
      </w:r>
    </w:p>
    <w:p>
      <w:pPr>
        <w:pStyle w:val="ListBullet"/>
        <w:spacing w:after="80"/>
        <w:ind w:left="547" w:hanging="274"/>
      </w:pPr>
      <w:r>
        <w:t>Each frontend event handler calls a service function; the service function sends the Axios request.</w:t>
      </w:r>
    </w:p>
    <w:p>
      <w:pPr>
        <w:pStyle w:val="ListBullet"/>
        <w:spacing w:after="80"/>
        <w:ind w:left="547" w:hanging="274"/>
      </w:pPr>
      <w:r>
        <w:t>For every endpoint, define its Request DTO and Response DTO contract before implementation.</w:t>
      </w:r>
    </w:p>
    <w:p>
      <w:pPr>
        <w:pStyle w:val="ListBullet"/>
        <w:spacing w:after="80"/>
        <w:ind w:left="547" w:hanging="274"/>
      </w:pPr>
      <w:r>
        <w:t>Implement the controller transformation, service business logic, repository operation, and H2 persistence in the approved order.</w:t>
      </w:r>
    </w:p>
    <w:p>
      <w:pPr>
        <w:pStyle w:val="ListBullet"/>
        <w:spacing w:after="80"/>
        <w:ind w:left="547" w:hanging="274"/>
      </w:pPr>
      <w:r>
        <w:t>Test the backend endpoint first, then connect the corresponding React service function.</w:t>
      </w:r>
    </w:p>
    <w:p>
      <w:pPr>
        <w:pStyle w:val="ListBullet"/>
        <w:spacing w:after="80"/>
        <w:ind w:left="547" w:hanging="274"/>
      </w:pPr>
      <w:r>
        <w:t>Verify the full response flow, HTTP status, state update, and UI rendering.</w:t>
      </w:r>
    </w:p>
    <w:p>
      <w:pPr>
        <w:pStyle w:val="ListBullet"/>
        <w:spacing w:after="80"/>
        <w:ind w:left="547" w:hanging="274"/>
      </w:pPr>
      <w:r>
        <w:t>Review new code against the architecture rules before merging branches.</w:t>
      </w:r>
    </w:p>
    <w:p>
      <w:pPr>
        <w:pStyle w:val="Heading1"/>
        <w:keepNext/>
      </w:pPr>
      <w:r>
        <w:t>12. Final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473EA"/>
          <w:left w:val="single" w:sz="8" w:color="0473EA"/>
          <w:bottom w:val="single" w:sz="8" w:color="0473EA"/>
          <w:right w:val="single" w:sz="8" w:color="0473EA"/>
          <w:insideH w:val="single" w:sz="8" w:color="0473EA"/>
          <w:insideV w:val="single" w:sz="8" w:color="0473EA"/>
        </w:tblBorders>
      </w:tblPr>
      <w:tblGrid>
        <w:gridCol w:w="9360"/>
      </w:tblGrid>
      <w:tr>
        <w:tc>
          <w:tcPr>
            <w:tcW w:type="dxa" w:w="9360"/>
            <w:shd w:fill="E8F0F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1E8C"/>
                <w:sz w:val="21"/>
              </w:rPr>
              <w:t>One system, three roles, one architecture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Customer, Maker, and Checker have different screens and permissions, but the technical flow remains consistent: React Component → Event Handler → React Service → Controller → Request DTO → Entity → Spring Service → Repository → H2, followed by Entity → Response DTO → ResponseEntity → React State → UI.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368"/>
        <w:sz w:val="16"/>
      </w:rPr>
      <w:t>Customer • Maker • Checker  |  Common Full-Stack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F6368"/>
        <w:sz w:val="17"/>
      </w:rPr>
      <w:t>LOAN ORIGINATION  |  TEAM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1E8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Tree">
    <w:name w:val="Architecture Tree"/>
    <w:pPr>
      <w:spacing w:before="40" w:after="140" w:line="259" w:lineRule="auto"/>
      <w:ind w:left="216"/>
    </w:pPr>
    <w:rPr>
      <w:rFonts w:ascii="Consolas" w:hAnsi="Consolas"/>
      <w:color w:val="2021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