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5A9C" w14:textId="6EADBADB" w:rsidR="009B4875" w:rsidRDefault="009B4875" w:rsidP="00743C5C">
      <w:pPr>
        <w:pStyle w:val="Ttulo1"/>
        <w:spacing w:line="360" w:lineRule="auto"/>
        <w:jc w:val="center"/>
      </w:pPr>
      <w:r w:rsidRPr="009B4875">
        <w:t>OVPSV</w:t>
      </w:r>
    </w:p>
    <w:p w14:paraId="3A53BF43" w14:textId="4AAC0EF9" w:rsidR="001A676B" w:rsidRDefault="001A676B" w:rsidP="00CF6010">
      <w:pPr>
        <w:spacing w:line="360" w:lineRule="auto"/>
      </w:pPr>
      <w:r w:rsidRPr="001A676B">
        <w:t xml:space="preserve">La </w:t>
      </w:r>
      <w:r w:rsidRPr="001A676B">
        <w:rPr>
          <w:b/>
          <w:bCs/>
          <w:i/>
          <w:iCs/>
        </w:rPr>
        <w:t>Oficina Virtual de Protección y Sustentación Vital</w:t>
      </w:r>
      <w:r w:rsidRPr="001A676B">
        <w:t xml:space="preserve"> (OVPSV) es una plataforma digital asistencial que intercede cuando personas vulnerables (económica o sanitariamente) enfrentan cortes inminentes de servicios esenciales (luz, agua, transporte, tratamiento médico</w:t>
      </w:r>
      <w:r>
        <w:t>, etc</w:t>
      </w:r>
      <w:r w:rsidRPr="001A676B">
        <w:t>). Participan tres actores clave: Curador Vital (supervisa la coherencia ética/técnica del sistema), Intercesor (gestiona solicitudes, traduce casos a términos jurídico-administrativos y negocia con instituciones), y Habitante (usuario vulnerable que solicita asistencia). OVPSV no es un sistema judicial (no es el PJUD), sino un organismo nuevo con identidad propia, enfoque asistencial y operación digital ágil; su complejidad radica en la red humana e institucional que activa.</w:t>
      </w:r>
    </w:p>
    <w:p w14:paraId="41831799" w14:textId="29D1206A" w:rsidR="001A676B" w:rsidRDefault="001A676B" w:rsidP="00CF6010">
      <w:pPr>
        <w:spacing w:line="360" w:lineRule="auto"/>
        <w:rPr>
          <w:rStyle w:val="Ttulo1Car"/>
        </w:rPr>
      </w:pPr>
      <w:r w:rsidRPr="001A676B">
        <w:t xml:space="preserve">Los testimonios </w:t>
      </w:r>
      <w:r w:rsidR="00CF6010">
        <w:t xml:space="preserve">reales a gente que se les mostró la moción </w:t>
      </w:r>
      <w:r w:rsidRPr="001A676B">
        <w:t xml:space="preserve">evidencian una coincidencia emocional: el malestar proviene </w:t>
      </w:r>
      <w:r w:rsidR="00CF6010">
        <w:t>tanto</w:t>
      </w:r>
      <w:r w:rsidRPr="001A676B">
        <w:t xml:space="preserve"> de</w:t>
      </w:r>
      <w:r w:rsidR="00CF6010">
        <w:t xml:space="preserve">l concepto de pérdida </w:t>
      </w:r>
      <w:r w:rsidRPr="001A676B">
        <w:t xml:space="preserve">material, </w:t>
      </w:r>
      <w:r w:rsidR="00CF6010">
        <w:t xml:space="preserve">como </w:t>
      </w:r>
      <w:r w:rsidRPr="001A676B">
        <w:t>de la falta de estructuras simbólicas y organizativas que otorguen sentido y previsibilidad. El deseo de claridad y mediación expresa una búsqueda de orden y pertenencia frente a la desarticulación del entorno. La OVPSV surge, así como una figura digital de apego y cooperación, un espacio que ofrece reconocimiento y contención dentro del caos sistémico.</w:t>
      </w:r>
    </w:p>
    <w:p w14:paraId="59F32D19" w14:textId="77777777" w:rsidR="001A676B" w:rsidRDefault="001A676B" w:rsidP="00743C5C">
      <w:pPr>
        <w:spacing w:line="360" w:lineRule="auto"/>
        <w:jc w:val="center"/>
        <w:rPr>
          <w:rStyle w:val="Ttulo1Car"/>
        </w:rPr>
      </w:pPr>
      <w:r>
        <w:rPr>
          <w:rStyle w:val="Ttulo1Car"/>
        </w:rPr>
        <w:br w:type="page"/>
      </w:r>
    </w:p>
    <w:p w14:paraId="6AD5EDD1" w14:textId="265470D2" w:rsidR="009B4875" w:rsidRDefault="009B4875" w:rsidP="00743C5C">
      <w:pPr>
        <w:spacing w:line="360" w:lineRule="auto"/>
        <w:jc w:val="center"/>
      </w:pPr>
      <w:r w:rsidRPr="009B4875">
        <w:rPr>
          <w:rStyle w:val="Ttulo1Car"/>
        </w:rPr>
        <w:lastRenderedPageBreak/>
        <w:t>Modelado i* — OVPSV (Oficina de Vinculación y Protección de Servicios Vitales)</w:t>
      </w:r>
    </w:p>
    <w:p w14:paraId="0439FBCD" w14:textId="2395DF6F" w:rsidR="009B4875" w:rsidRDefault="009B4875" w:rsidP="003E1A5C">
      <w:pPr>
        <w:spacing w:line="360" w:lineRule="auto"/>
      </w:pPr>
      <w:r w:rsidRPr="009B4875">
        <w:t>El presente conjunto de diagramas (Dependencias Estratégicas y Racionalidad Estratégica) busca representar de manera sintética las motivaciones, interacciones y compromisos de los actores que intervienen en el proceso de atención a casos críticos de servicios esenciales.  Se utiliza la notación i* en sus dos vistas complementarias:</w:t>
      </w:r>
    </w:p>
    <w:p w14:paraId="4EC863CE" w14:textId="47A96251" w:rsidR="009B4875" w:rsidRDefault="009B4875" w:rsidP="003E1A5C">
      <w:pPr>
        <w:spacing w:line="360" w:lineRule="auto"/>
      </w:pPr>
      <w:r w:rsidRPr="003E1A5C">
        <w:rPr>
          <w:b/>
          <w:bCs/>
        </w:rPr>
        <w:t>Diagrama de Dependencias Estratégicas</w:t>
      </w:r>
      <w:r w:rsidRPr="009B4875">
        <w:t xml:space="preserve"> (SD): muestra las relaciones entre actores y sus compromisos mutuos.</w:t>
      </w:r>
    </w:p>
    <w:p w14:paraId="21972815" w14:textId="482D91B8" w:rsidR="009B4875" w:rsidRDefault="009B4875" w:rsidP="003E1A5C">
      <w:pPr>
        <w:spacing w:line="360" w:lineRule="auto"/>
      </w:pPr>
      <w:r w:rsidRPr="003E1A5C">
        <w:rPr>
          <w:b/>
          <w:bCs/>
        </w:rPr>
        <w:t>Diagrama de Racionalidad Estratégica</w:t>
      </w:r>
      <w:r w:rsidRPr="009B4875">
        <w:t xml:space="preserve"> (SR): profundiza en las metas internas y cualidades buscadas por cada actor.</w:t>
      </w:r>
    </w:p>
    <w:p w14:paraId="4E0A9E17" w14:textId="7F5CB830" w:rsidR="009B4875" w:rsidRDefault="009B4875" w:rsidP="003E1A5C">
      <w:pPr>
        <w:spacing w:line="360" w:lineRule="auto"/>
      </w:pPr>
      <w:r w:rsidRPr="009B4875">
        <w:t xml:space="preserve">Ambos modelos </w:t>
      </w:r>
      <w:r w:rsidR="003E1A5C">
        <w:t>dan una apreciación escueta pero suficiente.</w:t>
      </w:r>
    </w:p>
    <w:p w14:paraId="7C6C713D" w14:textId="75B7FB59" w:rsidR="00CF6010" w:rsidRDefault="00B63DFA" w:rsidP="003E1A5C">
      <w:pPr>
        <w:spacing w:line="360" w:lineRule="auto"/>
        <w:rPr>
          <w:i/>
          <w:iCs/>
        </w:rPr>
      </w:pPr>
      <w:r w:rsidRPr="00B63DFA">
        <w:t xml:space="preserve">El </w:t>
      </w:r>
      <w:r w:rsidRPr="00B63DFA">
        <w:rPr>
          <w:b/>
          <w:bCs/>
        </w:rPr>
        <w:t>Diagrama de Dependencias Estratégicas</w:t>
      </w:r>
      <w:r w:rsidRPr="00B63DFA">
        <w:t xml:space="preserve"> fue realizado bajo la notación </w:t>
      </w:r>
      <w:r w:rsidRPr="003E1A5C">
        <w:rPr>
          <w:i/>
          <w:iCs/>
        </w:rPr>
        <w:t>i*,</w:t>
      </w:r>
      <w:r w:rsidRPr="00B63DFA">
        <w:t xml:space="preserve"> respetando la distinción entre actores, metas</w:t>
      </w:r>
      <w:r w:rsidR="00CF6010">
        <w:t xml:space="preserve"> y tareas en una escala de 2 niveles de abstracción</w:t>
      </w:r>
      <w:r w:rsidRPr="00B63DFA">
        <w:t>.</w:t>
      </w:r>
      <w:r w:rsidR="009F1CB7">
        <w:rPr>
          <w:i/>
          <w:iCs/>
        </w:rPr>
        <w:t xml:space="preserve"> </w:t>
      </w:r>
    </w:p>
    <w:p w14:paraId="2E32726E" w14:textId="77777777" w:rsidR="00CF6010" w:rsidRDefault="00CF6010">
      <w:pPr>
        <w:rPr>
          <w:i/>
          <w:iCs/>
        </w:rPr>
      </w:pPr>
      <w:r>
        <w:rPr>
          <w:i/>
          <w:iCs/>
        </w:rPr>
        <w:br w:type="page"/>
      </w:r>
    </w:p>
    <w:p w14:paraId="6A8243FC" w14:textId="080C40FE" w:rsidR="009F1CB7" w:rsidRDefault="004B1DE2" w:rsidP="004B1DE2">
      <w:pPr>
        <w:pStyle w:val="Subttulo"/>
        <w:jc w:val="center"/>
      </w:pPr>
      <w:r>
        <w:lastRenderedPageBreak/>
        <w:t>Los</w:t>
      </w:r>
      <w:r w:rsidR="00B63DFA" w:rsidRPr="00B63DFA">
        <w:t xml:space="preserve"> </w:t>
      </w:r>
      <w:r w:rsidR="00D42590">
        <w:t>cinco actor</w:t>
      </w:r>
      <w:r>
        <w:t>es primordiales</w:t>
      </w:r>
      <w:r w:rsidR="00D42590">
        <w:t>:</w:t>
      </w:r>
    </w:p>
    <w:p w14:paraId="2298ACB4" w14:textId="77777777" w:rsidR="004B1DE2" w:rsidRDefault="004B1DE2" w:rsidP="00743C5C">
      <w:pPr>
        <w:spacing w:line="360" w:lineRule="auto"/>
        <w:jc w:val="center"/>
      </w:pPr>
    </w:p>
    <w:p w14:paraId="12E06878" w14:textId="77777777" w:rsidR="004B1DE2" w:rsidRDefault="004B1DE2" w:rsidP="004B1DE2">
      <w:pPr>
        <w:spacing w:line="360" w:lineRule="auto"/>
      </w:pPr>
      <w:r w:rsidRPr="004B1DE2">
        <w:t xml:space="preserve">El sistema OVPSV articula cinco actores primordiales, cada uno con un rol operativo claro dentro del proceso:  </w:t>
      </w:r>
    </w:p>
    <w:p w14:paraId="19346A35" w14:textId="77777777" w:rsidR="004B1DE2" w:rsidRDefault="004B1DE2" w:rsidP="004B1DE2">
      <w:pPr>
        <w:spacing w:line="360" w:lineRule="auto"/>
      </w:pPr>
      <w:r w:rsidRPr="004B1DE2">
        <w:rPr>
          <w:b/>
          <w:bCs/>
        </w:rPr>
        <w:t>Habitante</w:t>
      </w:r>
      <w:r w:rsidRPr="004B1DE2">
        <w:t xml:space="preserve">: inicia la solicitud de apoyo ante una eventual suspensión de un servicio esencial. Entrega antecedentes, firma consentimiento y recibe notificaciones sobre el estado del caso.  </w:t>
      </w:r>
    </w:p>
    <w:p w14:paraId="1518FDB8" w14:textId="77777777" w:rsidR="004B1DE2" w:rsidRDefault="004B1DE2" w:rsidP="004B1DE2">
      <w:pPr>
        <w:spacing w:line="360" w:lineRule="auto"/>
      </w:pPr>
      <w:r w:rsidRPr="004B1DE2">
        <w:rPr>
          <w:b/>
          <w:bCs/>
        </w:rPr>
        <w:t>Intercesor</w:t>
      </w:r>
      <w:r w:rsidRPr="004B1DE2">
        <w:t xml:space="preserve">: actúa como intermediario técnico y social. Asiste al habitante en la formulación de la solicitud, valida la información recibida y mantiene comunicación con los proveedores y el Curador Vital.  </w:t>
      </w:r>
    </w:p>
    <w:p w14:paraId="3C07319F" w14:textId="77777777" w:rsidR="004B1DE2" w:rsidRDefault="004B1DE2" w:rsidP="004B1DE2">
      <w:pPr>
        <w:spacing w:line="360" w:lineRule="auto"/>
      </w:pPr>
      <w:r w:rsidRPr="004B1DE2">
        <w:rPr>
          <w:b/>
          <w:bCs/>
        </w:rPr>
        <w:t>Curador Vital</w:t>
      </w:r>
      <w:r w:rsidRPr="004B1DE2">
        <w:t xml:space="preserve">: supervisa la legitimidad y la ética del caso. Evalúa antecedentes, emite directrices y valida la resolución final, asegurando que las decisiones respeten criterios de justicia y necesidad.  </w:t>
      </w:r>
    </w:p>
    <w:p w14:paraId="692AF549" w14:textId="77777777" w:rsidR="004B1DE2" w:rsidRDefault="004B1DE2" w:rsidP="004B1DE2">
      <w:pPr>
        <w:spacing w:line="360" w:lineRule="auto"/>
      </w:pPr>
      <w:r w:rsidRPr="004B1DE2">
        <w:rPr>
          <w:b/>
          <w:bCs/>
        </w:rPr>
        <w:t>Proveedor de Servicio Esencial</w:t>
      </w:r>
      <w:r w:rsidRPr="004B1DE2">
        <w:t xml:space="preserve">: recibe las solicitudes aprobadas, propone alternativas de pago o prórroga y formaliza los acuerdos mediante carta de compromiso.  </w:t>
      </w:r>
    </w:p>
    <w:p w14:paraId="2CA885EC" w14:textId="7B077BF2" w:rsidR="009B4875" w:rsidRDefault="004B1DE2" w:rsidP="004B1DE2">
      <w:pPr>
        <w:spacing w:line="360" w:lineRule="auto"/>
      </w:pPr>
      <w:r w:rsidRPr="004B1DE2">
        <w:rPr>
          <w:b/>
          <w:bCs/>
        </w:rPr>
        <w:t>Institución Gubernamental</w:t>
      </w:r>
      <w:r w:rsidRPr="004B1DE2">
        <w:t>: provee respaldo normativo, audita los resultados y gestiona políticas de cooperación interinstitucional para mantener el funcionamiento del programa.</w:t>
      </w:r>
      <w:r w:rsidR="009B4875">
        <w:br w:type="page"/>
      </w:r>
    </w:p>
    <w:p w14:paraId="6FEF3777" w14:textId="77777777" w:rsidR="009B4875" w:rsidRDefault="009B4875" w:rsidP="00743C5C">
      <w:pPr>
        <w:pStyle w:val="Ttulo1"/>
        <w:spacing w:line="360" w:lineRule="auto"/>
        <w:jc w:val="center"/>
      </w:pPr>
      <w:r w:rsidRPr="009B4875">
        <w:lastRenderedPageBreak/>
        <w:t>Diagrama de Dependencias Estratégicas (SD)</w:t>
      </w:r>
    </w:p>
    <w:p w14:paraId="37C2B046" w14:textId="77777777" w:rsidR="009B4875" w:rsidRDefault="009B4875" w:rsidP="00743C5C">
      <w:pPr>
        <w:spacing w:line="360" w:lineRule="auto"/>
        <w:jc w:val="center"/>
      </w:pPr>
    </w:p>
    <w:p w14:paraId="3D2E14E7" w14:textId="0D00FD36" w:rsidR="009B4875" w:rsidRPr="009B4875" w:rsidRDefault="009B4875" w:rsidP="00743C5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15F41B9" wp14:editId="1BE702B7">
            <wp:extent cx="5400040" cy="3390265"/>
            <wp:effectExtent l="0" t="0" r="0" b="635"/>
            <wp:docPr id="3493330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308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EEA19" w14:textId="79AF9CCF" w:rsidR="009B4875" w:rsidRDefault="009B4875" w:rsidP="00743C5C">
      <w:pPr>
        <w:spacing w:line="360" w:lineRule="auto"/>
        <w:jc w:val="center"/>
      </w:pPr>
    </w:p>
    <w:p w14:paraId="1602A3E5" w14:textId="7E5643FB" w:rsidR="009B4875" w:rsidRDefault="009B4875" w:rsidP="00743C5C">
      <w:pPr>
        <w:spacing w:line="360" w:lineRule="auto"/>
        <w:jc w:val="center"/>
      </w:pPr>
      <w:r>
        <w:br w:type="page"/>
      </w:r>
    </w:p>
    <w:p w14:paraId="2E3AB458" w14:textId="5FA5E56A" w:rsidR="00C93513" w:rsidRDefault="009B4875" w:rsidP="00743C5C">
      <w:pPr>
        <w:pStyle w:val="Ttulo1"/>
        <w:spacing w:line="360" w:lineRule="auto"/>
        <w:jc w:val="center"/>
        <w:rPr>
          <w:noProof/>
        </w:rPr>
      </w:pPr>
      <w:r w:rsidRPr="009B4875">
        <w:lastRenderedPageBreak/>
        <w:t>Diagrama de Racionalidad Estratégica (SR)</w:t>
      </w:r>
    </w:p>
    <w:p w14:paraId="2A4238C9" w14:textId="3D5D4168" w:rsidR="009B4875" w:rsidRPr="009B4875" w:rsidRDefault="009B4875" w:rsidP="00743C5C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D0D25E9" wp14:editId="61B22175">
            <wp:extent cx="5457825" cy="7514767"/>
            <wp:effectExtent l="0" t="0" r="0" b="0"/>
            <wp:docPr id="85790937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841" cy="752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A6C7" w14:textId="77777777" w:rsidR="00C93513" w:rsidRDefault="00C93513" w:rsidP="00743C5C">
      <w:pPr>
        <w:spacing w:line="360" w:lineRule="auto"/>
        <w:jc w:val="center"/>
      </w:pPr>
      <w:r>
        <w:br w:type="page"/>
      </w:r>
    </w:p>
    <w:p w14:paraId="77DE22F9" w14:textId="483F793A" w:rsidR="00C93513" w:rsidRDefault="009B4875" w:rsidP="00743C5C">
      <w:pPr>
        <w:spacing w:line="360" w:lineRule="auto"/>
        <w:jc w:val="center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9B4875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lastRenderedPageBreak/>
        <w:t>Business Process Model and Notation</w:t>
      </w:r>
    </w:p>
    <w:p w14:paraId="3E778C95" w14:textId="19E660FB" w:rsidR="009B4875" w:rsidRDefault="004C53AC" w:rsidP="00743C5C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6234A70" wp14:editId="0A0312AB">
            <wp:extent cx="5400040" cy="2809545"/>
            <wp:effectExtent l="0" t="0" r="0" b="0"/>
            <wp:docPr id="15421601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60103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866D" w14:textId="77777777" w:rsidR="004C53AC" w:rsidRDefault="004C53AC" w:rsidP="00743C5C">
      <w:pPr>
        <w:spacing w:line="360" w:lineRule="auto"/>
        <w:jc w:val="center"/>
        <w:rPr>
          <w:lang w:val="en-US"/>
        </w:rPr>
      </w:pPr>
    </w:p>
    <w:p w14:paraId="69801C1C" w14:textId="77777777" w:rsidR="00A1534C" w:rsidRDefault="00A1534C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6017AA97" w14:textId="04DE917D" w:rsidR="004C53AC" w:rsidRDefault="00A1534C" w:rsidP="00A1534C">
      <w:pPr>
        <w:pStyle w:val="Subttulo"/>
        <w:jc w:val="center"/>
      </w:pPr>
      <w:r>
        <w:lastRenderedPageBreak/>
        <w:t>Los procesos.</w:t>
      </w:r>
    </w:p>
    <w:p w14:paraId="483146C7" w14:textId="77777777" w:rsidR="00A1534C" w:rsidRDefault="00A1534C" w:rsidP="00A1534C">
      <w:pPr>
        <w:spacing w:line="360" w:lineRule="auto"/>
      </w:pPr>
    </w:p>
    <w:p w14:paraId="5F1B746F" w14:textId="72C344BF" w:rsidR="00A1534C" w:rsidRDefault="00A1534C" w:rsidP="00A1534C">
      <w:pPr>
        <w:spacing w:line="360" w:lineRule="auto"/>
      </w:pPr>
      <w:r>
        <w:t>Entiendo proceso como parte independiente con un inicio y un fin delimitado.</w:t>
      </w:r>
    </w:p>
    <w:p w14:paraId="4E9F11A5" w14:textId="4D587493" w:rsidR="004C53AC" w:rsidRDefault="004C53AC" w:rsidP="00A1534C">
      <w:pPr>
        <w:pStyle w:val="Prrafodelista"/>
        <w:numPr>
          <w:ilvl w:val="0"/>
          <w:numId w:val="1"/>
        </w:numPr>
        <w:spacing w:line="360" w:lineRule="auto"/>
      </w:pPr>
      <w:r w:rsidRPr="004C53AC">
        <w:t xml:space="preserve">El primero ocurre dentro del pool de </w:t>
      </w:r>
      <w:r w:rsidRPr="004C53AC">
        <w:rPr>
          <w:b/>
          <w:bCs/>
        </w:rPr>
        <w:t>OVPSV</w:t>
      </w:r>
      <w:r w:rsidRPr="004C53AC">
        <w:t xml:space="preserve">, donde el </w:t>
      </w:r>
      <w:r w:rsidRPr="004C53AC">
        <w:rPr>
          <w:b/>
          <w:bCs/>
        </w:rPr>
        <w:t>Habitante</w:t>
      </w:r>
      <w:r w:rsidRPr="004C53AC">
        <w:t xml:space="preserve"> y el </w:t>
      </w:r>
      <w:r w:rsidRPr="004C53AC">
        <w:rPr>
          <w:b/>
          <w:bCs/>
        </w:rPr>
        <w:t>Intercesor</w:t>
      </w:r>
      <w:r w:rsidRPr="004C53AC">
        <w:t xml:space="preserve"> actúan juntos</w:t>
      </w:r>
      <w:r w:rsidR="00062173">
        <w:t xml:space="preserve"> (Uno puede ser el otro, pero no es lo que se discute en este punto)</w:t>
      </w:r>
      <w:r w:rsidRPr="004C53AC">
        <w:t>. Este proceso empieza cuando el habitante tiene una necesidad de apoyo y termina cuando el caso se valida: si no cumple los requisitos se rechaza, y si es aceptado, se formaliza y queda listo para la negociación.</w:t>
      </w:r>
    </w:p>
    <w:p w14:paraId="4138D1E2" w14:textId="77777777" w:rsidR="004C53AC" w:rsidRDefault="004C53AC" w:rsidP="00A1534C">
      <w:pPr>
        <w:pStyle w:val="Prrafodelista"/>
        <w:numPr>
          <w:ilvl w:val="0"/>
          <w:numId w:val="1"/>
        </w:numPr>
        <w:spacing w:line="360" w:lineRule="auto"/>
      </w:pPr>
      <w:r w:rsidRPr="004C53AC">
        <w:t xml:space="preserve">El segundo proceso ocurre en el pool del </w:t>
      </w:r>
      <w:r w:rsidRPr="004C53AC">
        <w:rPr>
          <w:b/>
          <w:bCs/>
        </w:rPr>
        <w:t>Proveedor de Servicio Esencial</w:t>
      </w:r>
      <w:r w:rsidRPr="004C53AC">
        <w:t>. Comienza cuando el intercesor le envía el caso listo para negociación. El proveedor evalúa la propuesta y decide si se puede llegar o no a un acuerdo. Si se logra, se emite una carta de compromiso y el proceso termina con un acuerdo alcanzado; si no, se cierra como negociación fallida.</w:t>
      </w:r>
    </w:p>
    <w:p w14:paraId="3F8D1F3C" w14:textId="04496AF6" w:rsidR="00743C5C" w:rsidRDefault="004C53AC" w:rsidP="00A1534C">
      <w:pPr>
        <w:pStyle w:val="Prrafodelista"/>
        <w:numPr>
          <w:ilvl w:val="0"/>
          <w:numId w:val="1"/>
        </w:numPr>
        <w:spacing w:line="360" w:lineRule="auto"/>
      </w:pPr>
      <w:r w:rsidRPr="004C53AC">
        <w:t xml:space="preserve">El tercer proceso corresponde al </w:t>
      </w:r>
      <w:r w:rsidRPr="004C53AC">
        <w:rPr>
          <w:b/>
          <w:bCs/>
        </w:rPr>
        <w:t>Curador Vital</w:t>
      </w:r>
      <w:r w:rsidRPr="004C53AC">
        <w:t>. Empieza cuando recibe el caso para revisión ética y verifica si la información es suficiente. Si faltan antecedentes, los solicita al intercesor y vuelve a revisar; si todo está correcto, emite una validación o directriz ética y el proceso finaliza con la validación emitida.</w:t>
      </w:r>
    </w:p>
    <w:p w14:paraId="0F992341" w14:textId="77777777" w:rsidR="00743C5C" w:rsidRDefault="00743C5C" w:rsidP="00743C5C">
      <w:pPr>
        <w:jc w:val="center"/>
      </w:pPr>
      <w:r>
        <w:br w:type="page"/>
      </w:r>
    </w:p>
    <w:p w14:paraId="535879E7" w14:textId="3E56D0D2" w:rsidR="004C53AC" w:rsidRDefault="00743C5C" w:rsidP="00743C5C">
      <w:pPr>
        <w:pStyle w:val="Ttulo1"/>
        <w:jc w:val="center"/>
      </w:pPr>
      <w:r>
        <w:lastRenderedPageBreak/>
        <w:t>Visual Paradigm – Use case.</w:t>
      </w:r>
    </w:p>
    <w:p w14:paraId="5155579F" w14:textId="77777777" w:rsidR="00743C5C" w:rsidRDefault="00743C5C" w:rsidP="00743C5C"/>
    <w:p w14:paraId="316C3615" w14:textId="10FA2DB0" w:rsidR="00743C5C" w:rsidRDefault="00743C5C" w:rsidP="00743C5C">
      <w:r w:rsidRPr="00743C5C">
        <w:drawing>
          <wp:inline distT="0" distB="0" distL="0" distR="0" wp14:anchorId="68B7758D" wp14:editId="3D552539">
            <wp:extent cx="5400040" cy="2245360"/>
            <wp:effectExtent l="0" t="0" r="0" b="2540"/>
            <wp:docPr id="8564250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25018" name="Imagen 1" descr="Diagram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A107" w14:textId="77777777" w:rsidR="00621789" w:rsidRDefault="00621789" w:rsidP="00621789">
      <w:pPr>
        <w:pStyle w:val="Ttulo1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78D466A1" w14:textId="4DDB5410" w:rsidR="00A1534C" w:rsidRPr="00A1534C" w:rsidRDefault="00A1534C" w:rsidP="00A1534C">
      <w:r w:rsidRPr="00A1534C">
        <w:t>El diagrama</w:t>
      </w:r>
      <w:r>
        <w:t xml:space="preserve"> busca modelar</w:t>
      </w:r>
      <w:r w:rsidRPr="00A1534C">
        <w:t xml:space="preserve"> el proceso de registro de solicitud de apoyo dentro del sistema OVPSV. </w:t>
      </w:r>
      <w:r>
        <w:t>Se d</w:t>
      </w:r>
      <w:r w:rsidRPr="00A1534C">
        <w:t>efine</w:t>
      </w:r>
      <w:r>
        <w:t>n</w:t>
      </w:r>
      <w:r w:rsidRPr="00A1534C">
        <w:t xml:space="preserve"> los requisitos de comportamiento obligatorios y opcionales desde la perspectiva de dos actores externos: el Habitante y el Intercesor.</w:t>
      </w:r>
    </w:p>
    <w:p w14:paraId="077231B1" w14:textId="7039CA49" w:rsidR="00A1534C" w:rsidRPr="00A1534C" w:rsidRDefault="00A1534C" w:rsidP="00A1534C">
      <w:r w:rsidRPr="00A1534C">
        <w:t xml:space="preserve">El caso de uso principal, </w:t>
      </w:r>
      <w:r w:rsidRPr="00A1534C">
        <w:rPr>
          <w:b/>
          <w:bCs/>
        </w:rPr>
        <w:t>"Registrar solicitud de apoyo"</w:t>
      </w:r>
      <w:r w:rsidRPr="00A1534C">
        <w:t xml:space="preserve">, incluye tres subprocesos obligatorios: </w:t>
      </w:r>
      <w:r w:rsidRPr="00A1534C">
        <w:rPr>
          <w:b/>
          <w:bCs/>
        </w:rPr>
        <w:t>Autenticarse</w:t>
      </w:r>
      <w:r w:rsidRPr="00A1534C">
        <w:t xml:space="preserve">, </w:t>
      </w:r>
      <w:r w:rsidRPr="00A1534C">
        <w:rPr>
          <w:b/>
          <w:bCs/>
        </w:rPr>
        <w:t>Validar datos</w:t>
      </w:r>
      <w:r w:rsidRPr="00A1534C">
        <w:t xml:space="preserve"> y </w:t>
      </w:r>
      <w:r w:rsidRPr="00A1534C">
        <w:rPr>
          <w:b/>
          <w:bCs/>
        </w:rPr>
        <w:t>Notificar recepción</w:t>
      </w:r>
      <w:r w:rsidRPr="00A1534C">
        <w:t>. Esto establece un flujo fundamental: el usuario debe ser verificado, la información proporcionada debe ser validada, y el sistema debe generar una notificación de recepción.</w:t>
      </w:r>
    </w:p>
    <w:p w14:paraId="42E908E0" w14:textId="778AB53F" w:rsidR="00A1534C" w:rsidRPr="00A1534C" w:rsidRDefault="00A1534C" w:rsidP="00A1534C">
      <w:r w:rsidRPr="00A1534C">
        <w:t xml:space="preserve">El caso de uso </w:t>
      </w:r>
      <w:r w:rsidRPr="00A1534C">
        <w:rPr>
          <w:b/>
          <w:bCs/>
        </w:rPr>
        <w:t>"Adjuntar documentos</w:t>
      </w:r>
      <w:r w:rsidRPr="00A1534C">
        <w:rPr>
          <w:b/>
          <w:bCs/>
        </w:rPr>
        <w:t xml:space="preserve">” </w:t>
      </w:r>
      <w:r w:rsidRPr="00A1534C">
        <w:rPr>
          <w:i/>
          <w:iCs/>
        </w:rPr>
        <w:t>solo</w:t>
      </w:r>
      <w:r w:rsidRPr="00A1534C">
        <w:t xml:space="preserve"> se activa en un punto de extensión específico</w:t>
      </w:r>
      <w:r>
        <w:t xml:space="preserve"> </w:t>
      </w:r>
      <w:r w:rsidRPr="00A1534C">
        <w:rPr>
          <w:b/>
          <w:bCs/>
        </w:rPr>
        <w:t>"al adjuntar antecedentes"</w:t>
      </w:r>
      <w:r>
        <w:rPr>
          <w:b/>
          <w:bCs/>
        </w:rPr>
        <w:t xml:space="preserve">.  </w:t>
      </w:r>
      <w:r w:rsidRPr="00A1534C">
        <w:t>S</w:t>
      </w:r>
      <w:r w:rsidRPr="00A1534C">
        <w:t>i se cumple una condición determinada (por ejemplo, si el tipo de solicitud de apoyo requiere documentación probatoria). Esta estructura separa el flujo común y básico de registro de las acciones condicionales y menos frecuentes, haciendo que el modelo sea más claro y fácil de mantener.</w:t>
      </w:r>
    </w:p>
    <w:p w14:paraId="439C49E6" w14:textId="77777777" w:rsidR="00621789" w:rsidRDefault="00621789">
      <w:r>
        <w:br w:type="page"/>
      </w:r>
    </w:p>
    <w:p w14:paraId="3D409529" w14:textId="2EBDD4DF" w:rsidR="00743C5C" w:rsidRDefault="00743C5C" w:rsidP="00621789">
      <w:pPr>
        <w:pStyle w:val="Ttulo1"/>
      </w:pPr>
      <w:r>
        <w:lastRenderedPageBreak/>
        <w:t xml:space="preserve">Visual </w:t>
      </w:r>
      <w:proofErr w:type="spellStart"/>
      <w:r>
        <w:t>Paradigm</w:t>
      </w:r>
      <w:proofErr w:type="spellEnd"/>
      <w:r>
        <w:t xml:space="preserve"> –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4F11058B" w14:textId="77777777" w:rsidR="00621789" w:rsidRDefault="00621789" w:rsidP="00621789"/>
    <w:p w14:paraId="558B5FAC" w14:textId="5DEF2DD1" w:rsidR="00621789" w:rsidRPr="00621789" w:rsidRDefault="00621789" w:rsidP="00621789">
      <w:r w:rsidRPr="00621789">
        <w:drawing>
          <wp:inline distT="0" distB="0" distL="0" distR="0" wp14:anchorId="3BBDA01D" wp14:editId="2A36D83F">
            <wp:extent cx="5400040" cy="2623185"/>
            <wp:effectExtent l="0" t="0" r="0" b="5715"/>
            <wp:docPr id="16344576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7614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789" w:rsidRPr="006217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2B456" w14:textId="77777777" w:rsidR="006C3B5C" w:rsidRDefault="006C3B5C" w:rsidP="009B4875">
      <w:pPr>
        <w:spacing w:after="0" w:line="240" w:lineRule="auto"/>
      </w:pPr>
      <w:r>
        <w:separator/>
      </w:r>
    </w:p>
  </w:endnote>
  <w:endnote w:type="continuationSeparator" w:id="0">
    <w:p w14:paraId="23291DBE" w14:textId="77777777" w:rsidR="006C3B5C" w:rsidRDefault="006C3B5C" w:rsidP="009B4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1D006" w14:textId="77777777" w:rsidR="006C3B5C" w:rsidRDefault="006C3B5C" w:rsidP="009B4875">
      <w:pPr>
        <w:spacing w:after="0" w:line="240" w:lineRule="auto"/>
      </w:pPr>
      <w:r>
        <w:separator/>
      </w:r>
    </w:p>
  </w:footnote>
  <w:footnote w:type="continuationSeparator" w:id="0">
    <w:p w14:paraId="6190BEA5" w14:textId="77777777" w:rsidR="006C3B5C" w:rsidRDefault="006C3B5C" w:rsidP="009B48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B4BBA"/>
    <w:multiLevelType w:val="hybridMultilevel"/>
    <w:tmpl w:val="8AC055C6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898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DFA"/>
    <w:rsid w:val="00062173"/>
    <w:rsid w:val="0015251F"/>
    <w:rsid w:val="001A676B"/>
    <w:rsid w:val="001E52E7"/>
    <w:rsid w:val="00317CBA"/>
    <w:rsid w:val="003E1A5C"/>
    <w:rsid w:val="004B1DE2"/>
    <w:rsid w:val="004C53AC"/>
    <w:rsid w:val="004D4B67"/>
    <w:rsid w:val="004E3320"/>
    <w:rsid w:val="00520F88"/>
    <w:rsid w:val="00540FB0"/>
    <w:rsid w:val="00621789"/>
    <w:rsid w:val="00643D62"/>
    <w:rsid w:val="006B319B"/>
    <w:rsid w:val="006C3B5C"/>
    <w:rsid w:val="00743C5C"/>
    <w:rsid w:val="007744AD"/>
    <w:rsid w:val="00804602"/>
    <w:rsid w:val="0089798C"/>
    <w:rsid w:val="009A3B7C"/>
    <w:rsid w:val="009B4875"/>
    <w:rsid w:val="009C3393"/>
    <w:rsid w:val="009D45B8"/>
    <w:rsid w:val="009F1CB7"/>
    <w:rsid w:val="00A1534C"/>
    <w:rsid w:val="00B13A20"/>
    <w:rsid w:val="00B50048"/>
    <w:rsid w:val="00B63DFA"/>
    <w:rsid w:val="00BB70CC"/>
    <w:rsid w:val="00C93513"/>
    <w:rsid w:val="00C94ED5"/>
    <w:rsid w:val="00CF6010"/>
    <w:rsid w:val="00D42590"/>
    <w:rsid w:val="00EB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33476F"/>
  <w15:chartTrackingRefBased/>
  <w15:docId w15:val="{70FD26AB-139B-4FA9-962C-1169E831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D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D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D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D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D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D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D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D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D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D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D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63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B4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875"/>
  </w:style>
  <w:style w:type="paragraph" w:styleId="Piedepgina">
    <w:name w:val="footer"/>
    <w:basedOn w:val="Normal"/>
    <w:link w:val="PiedepginaCar"/>
    <w:uiPriority w:val="99"/>
    <w:unhideWhenUsed/>
    <w:rsid w:val="009B48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875"/>
  </w:style>
  <w:style w:type="paragraph" w:styleId="NormalWeb">
    <w:name w:val="Normal (Web)"/>
    <w:basedOn w:val="Normal"/>
    <w:uiPriority w:val="99"/>
    <w:semiHidden/>
    <w:unhideWhenUsed/>
    <w:rsid w:val="009B487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9</Pages>
  <Words>835</Words>
  <Characters>4729</Characters>
  <Application>Microsoft Office Word</Application>
  <DocSecurity>0</DocSecurity>
  <Lines>105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Figueroa Wlack</dc:creator>
  <cp:keywords/>
  <dc:description/>
  <cp:lastModifiedBy>Lorenzo Figueroa Wlack</cp:lastModifiedBy>
  <cp:revision>2</cp:revision>
  <dcterms:created xsi:type="dcterms:W3CDTF">2025-10-20T13:58:00Z</dcterms:created>
  <dcterms:modified xsi:type="dcterms:W3CDTF">2025-11-03T00:34:00Z</dcterms:modified>
</cp:coreProperties>
</file>