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auto" w:before="38"/>
        <w:ind w:left="3620" w:right="3627" w:hanging="17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sz w:val="28"/>
        </w:rPr>
        <w:t>New </w:t>
      </w:r>
      <w:r>
        <w:rPr>
          <w:rFonts w:ascii="Times New Roman"/>
          <w:b/>
          <w:spacing w:val="-8"/>
          <w:sz w:val="28"/>
        </w:rPr>
        <w:t>York </w:t>
      </w:r>
      <w:r>
        <w:rPr>
          <w:rFonts w:ascii="Times New Roman"/>
          <w:b/>
          <w:sz w:val="28"/>
        </w:rPr>
        <w:t>University </w:t>
      </w:r>
      <w:r>
        <w:rPr>
          <w:rFonts w:ascii="Times New Roman"/>
          <w:b/>
          <w:sz w:val="28"/>
        </w:rPr>
        <w:t>Department of Economics </w:t>
      </w:r>
      <w:r>
        <w:rPr>
          <w:rFonts w:ascii="Times New Roman"/>
          <w:b/>
          <w:sz w:val="24"/>
        </w:rPr>
        <w:t>Spring 2016</w:t>
      </w:r>
      <w:r>
        <w:rPr>
          <w:rFonts w:ascii="Times New Roman"/>
          <w:sz w:val="24"/>
        </w:rPr>
      </w:r>
    </w:p>
    <w:p>
      <w:pPr>
        <w:spacing w:before="18"/>
        <w:ind w:left="0" w:right="12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sz w:val="24"/>
        </w:rPr>
        <w:t>APPLIED </w:t>
      </w:r>
      <w:r>
        <w:rPr>
          <w:rFonts w:ascii="Times New Roman"/>
          <w:b/>
          <w:spacing w:val="-4"/>
          <w:sz w:val="24"/>
        </w:rPr>
        <w:t>STATISTICS </w:t>
      </w:r>
      <w:r>
        <w:rPr>
          <w:rFonts w:ascii="Times New Roman"/>
          <w:b/>
          <w:sz w:val="24"/>
        </w:rPr>
        <w:t>&amp; ECONOMETRICS II: ECON-GA 1102-01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z w:val="24"/>
        </w:rPr>
        <w:t>2596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Heading1"/>
        <w:tabs>
          <w:tab w:pos="7795" w:val="left" w:leader="none"/>
        </w:tabs>
        <w:spacing w:line="246" w:lineRule="exact"/>
        <w:ind w:left="0" w:right="27"/>
        <w:jc w:val="center"/>
        <w:rPr>
          <w:b w:val="0"/>
          <w:bCs w:val="0"/>
          <w:u w:val="none"/>
        </w:rPr>
      </w:pPr>
      <w:r>
        <w:rPr>
          <w:spacing w:val="-7"/>
          <w:u w:val="none"/>
        </w:rPr>
        <w:t>Dr.</w:t>
      </w:r>
      <w:r>
        <w:rPr>
          <w:u w:val="none"/>
        </w:rPr>
        <w:t> George Lentzas</w:t>
        <w:tab/>
        <w:t>Thursdays 6:20-8:20 PM</w:t>
      </w:r>
      <w:r>
        <w:rPr>
          <w:b w:val="0"/>
          <w:u w:val="none"/>
        </w:rPr>
      </w:r>
    </w:p>
    <w:p>
      <w:pPr>
        <w:tabs>
          <w:tab w:pos="7904" w:val="left" w:leader="none"/>
        </w:tabs>
        <w:spacing w:line="240" w:lineRule="exact" w:before="7"/>
        <w:ind w:left="100" w:right="294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Times New Roman"/>
          <w:b/>
          <w:sz w:val="22"/>
        </w:rPr>
        <w:t>Email:</w:t>
      </w:r>
      <w:r>
        <w:rPr>
          <w:rFonts w:ascii="Times New Roman"/>
          <w:b/>
          <w:spacing w:val="29"/>
          <w:sz w:val="22"/>
        </w:rPr>
        <w:t> </w:t>
      </w:r>
      <w:r>
        <w:rPr>
          <w:rFonts w:ascii="Times New Roman"/>
          <w:b/>
          <w:color w:val="021EAA"/>
          <w:spacing w:val="29"/>
          <w:sz w:val="22"/>
        </w:rPr>
      </w:r>
      <w:hyperlink r:id="rId5">
        <w:r>
          <w:rPr>
            <w:rFonts w:ascii="Times New Roman"/>
            <w:b/>
            <w:color w:val="021EAA"/>
            <w:sz w:val="22"/>
            <w:u w:val="thick" w:color="021EAA"/>
          </w:rPr>
          <w:t>george.lentzas@nyu.edu</w:t>
        </w:r>
        <w:r>
          <w:rPr>
            <w:rFonts w:ascii="Times New Roman"/>
            <w:b/>
            <w:color w:val="021EAA"/>
            <w:sz w:val="22"/>
          </w:rPr>
        </w:r>
      </w:hyperlink>
      <w:r>
        <w:rPr>
          <w:rFonts w:ascii="Times New Roman"/>
          <w:b/>
          <w:color w:val="021EAA"/>
          <w:sz w:val="22"/>
        </w:rPr>
        <w:tab/>
      </w:r>
      <w:r>
        <w:rPr>
          <w:rFonts w:ascii="Times New Roman"/>
          <w:b/>
          <w:sz w:val="22"/>
        </w:rPr>
        <w:t>Room: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194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Mercer/203</w:t>
      </w:r>
      <w:r>
        <w:rPr>
          <w:rFonts w:ascii="Times New Roman"/>
          <w:b/>
          <w:sz w:val="22"/>
        </w:rPr>
        <w:t> Office Hours: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sz w:val="22"/>
        </w:rPr>
        <w:t>TBD</w:t>
      </w:r>
    </w:p>
    <w:p>
      <w:pPr>
        <w:spacing w:line="233" w:lineRule="exact" w:before="0"/>
        <w:ind w:left="100" w:right="294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Times New Roman"/>
          <w:b/>
          <w:spacing w:val="-3"/>
          <w:sz w:val="22"/>
        </w:rPr>
        <w:t>Teaching </w:t>
      </w:r>
      <w:r>
        <w:rPr>
          <w:rFonts w:ascii="Times New Roman"/>
          <w:b/>
          <w:sz w:val="22"/>
        </w:rPr>
        <w:t>Assistant: </w:t>
      </w:r>
      <w:r>
        <w:rPr>
          <w:rFonts w:ascii="Times New Roman"/>
          <w:sz w:val="22"/>
        </w:rPr>
        <w:t>Cristian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Fuenzalida</w:t>
      </w:r>
    </w:p>
    <w:p>
      <w:pPr>
        <w:pStyle w:val="Heading1"/>
        <w:spacing w:line="246" w:lineRule="exact"/>
        <w:ind w:right="294"/>
        <w:jc w:val="left"/>
        <w:rPr>
          <w:b w:val="0"/>
          <w:bCs w:val="0"/>
          <w:u w:val="none"/>
        </w:rPr>
      </w:pPr>
      <w:r>
        <w:rPr>
          <w:spacing w:val="-11"/>
          <w:u w:val="none"/>
        </w:rPr>
        <w:t>TA’s </w:t>
      </w:r>
      <w:r>
        <w:rPr>
          <w:u w:val="none"/>
        </w:rPr>
        <w:t>Email:</w:t>
      </w:r>
      <w:r>
        <w:rPr>
          <w:spacing w:val="12"/>
          <w:u w:val="none"/>
        </w:rPr>
        <w:t> </w:t>
      </w:r>
      <w:r>
        <w:rPr>
          <w:color w:val="021EAA"/>
          <w:spacing w:val="12"/>
          <w:u w:val="none"/>
        </w:rPr>
      </w:r>
      <w:hyperlink r:id="rId6">
        <w:r>
          <w:rPr>
            <w:color w:val="021EAA"/>
            <w:u w:val="thick" w:color="021EAA"/>
          </w:rPr>
          <w:t>cristian.fuenzalida@nyu.edu</w:t>
        </w:r>
        <w:r>
          <w:rPr>
            <w:color w:val="021EAA"/>
            <w:u w:val="none"/>
          </w:rPr>
        </w:r>
        <w:r>
          <w:rPr>
            <w:b w:val="0"/>
            <w:bCs w:val="0"/>
            <w:u w:val="none"/>
          </w:rPr>
        </w:r>
      </w:hyperlink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pStyle w:val="BodyText"/>
        <w:spacing w:line="240" w:lineRule="exact" w:before="85"/>
        <w:ind w:right="106"/>
        <w:jc w:val="both"/>
      </w:pPr>
      <w:r>
        <w:rPr>
          <w:rFonts w:ascii="Times New Roman"/>
          <w:b/>
        </w:rPr>
        <w:t>Course Structure: </w:t>
      </w:r>
      <w:r>
        <w:rPr/>
        <w:t>The course consists of a two-hour lecture, followed by a two-hour lab session. The lab session is an opportunity to review material discussed in the lectures and discuss the applications at the end of each chapter in the text. </w:t>
      </w:r>
      <w:r>
        <w:rPr>
          <w:u w:val="single" w:color="000000"/>
        </w:rPr>
        <w:t>Attendance in both class and lab is</w:t>
      </w:r>
      <w:r>
        <w:rPr>
          <w:spacing w:val="-28"/>
          <w:u w:val="single" w:color="000000"/>
        </w:rPr>
        <w:t> </w:t>
      </w:r>
      <w:r>
        <w:rPr>
          <w:u w:val="single" w:color="000000"/>
        </w:rPr>
        <w:t>compulsory</w:t>
      </w:r>
      <w:r>
        <w:rPr/>
        <w:t>.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exact" w:before="85"/>
        <w:ind w:right="106"/>
        <w:jc w:val="both"/>
      </w:pPr>
      <w:r>
        <w:rPr>
          <w:rFonts w:ascii="Times New Roman"/>
          <w:b/>
        </w:rPr>
        <w:t>Lab: </w:t>
      </w:r>
      <w:r>
        <w:rPr/>
        <w:t>As part of this course, you need to be registered for ECON-GA </w:t>
      </w:r>
      <w:r>
        <w:rPr>
          <w:spacing w:val="-3"/>
        </w:rPr>
        <w:t>1102 </w:t>
      </w:r>
      <w:r>
        <w:rPr/>
        <w:t>- 02 - 2597 Applied Statistics &amp; </w:t>
      </w:r>
      <w:r>
        <w:rPr/>
        <w:t>Econometrics II LAB. The labs are led by Cristian Fuenzalida, the teaching assistant for the</w:t>
      </w:r>
      <w:r>
        <w:rPr>
          <w:spacing w:val="-4"/>
        </w:rPr>
        <w:t> </w:t>
      </w:r>
      <w:r>
        <w:rPr/>
        <w:t>course.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exact"/>
        <w:ind w:right="106"/>
        <w:jc w:val="both"/>
      </w:pPr>
      <w:r>
        <w:rPr>
          <w:rFonts w:ascii="Times New Roman"/>
          <w:b/>
        </w:rPr>
        <w:t>Course Objective: </w:t>
      </w:r>
      <w:r>
        <w:rPr/>
        <w:t>This course is the second in a two-semester sequence designed to study applied statistics and econometric techniques for quantitative research and analysis. During the </w:t>
      </w:r>
      <w:r>
        <w:rPr>
          <w:u w:val="single" w:color="000000"/>
        </w:rPr>
        <w:t>first half of the semester</w:t>
      </w:r>
      <w:r>
        <w:rPr/>
        <w:t>, the course will </w:t>
      </w:r>
      <w:r>
        <w:rPr/>
        <w:t>cover models for panel data analysis and modern, non-regression based estimation frameworks, including maximum likelihood estimation, simulation techniques, classification and bayesian estimation and inference. During </w:t>
      </w:r>
      <w:r>
        <w:rPr>
          <w:u w:val="single" w:color="000000"/>
        </w:rPr>
        <w:t>second half of the semester</w:t>
      </w:r>
      <w:r>
        <w:rPr/>
        <w:t>, the course will cover selected topics in modern micro, macro and financial </w:t>
      </w:r>
      <w:r>
        <w:rPr/>
        <w:t>econometrics. The course will be based on class notes and will follow closely the textbook Econometric Analysis (7th Edition) by William H.</w:t>
      </w:r>
      <w:r>
        <w:rPr>
          <w:spacing w:val="-13"/>
        </w:rPr>
        <w:t> </w:t>
      </w:r>
      <w:r>
        <w:rPr/>
        <w:t>Greene.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exact" w:before="0"/>
        <w:ind w:left="100" w:right="106" w:firstLine="0"/>
        <w:jc w:val="both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Times New Roman"/>
          <w:b/>
          <w:sz w:val="22"/>
        </w:rPr>
        <w:t>Required </w:t>
      </w:r>
      <w:r>
        <w:rPr>
          <w:rFonts w:ascii="Times New Roman"/>
          <w:b/>
          <w:spacing w:val="-5"/>
          <w:sz w:val="22"/>
        </w:rPr>
        <w:t>Text: </w:t>
      </w:r>
      <w:r>
        <w:rPr>
          <w:rFonts w:ascii="Times New Roman"/>
          <w:sz w:val="22"/>
        </w:rPr>
        <w:t>The required textbook for both of sections of the course Applied Statistics and Econometrics I and II is </w:t>
      </w:r>
      <w:r>
        <w:rPr>
          <w:rFonts w:ascii="Times New Roman"/>
          <w:i/>
          <w:sz w:val="22"/>
        </w:rPr>
      </w:r>
      <w:r>
        <w:rPr>
          <w:rFonts w:ascii="Times New Roman"/>
          <w:i/>
          <w:sz w:val="22"/>
          <w:u w:val="single" w:color="000000"/>
        </w:rPr>
        <w:t>Econometric Analysis</w:t>
      </w:r>
      <w:r>
        <w:rPr>
          <w:rFonts w:ascii="Times New Roman"/>
          <w:i/>
          <w:sz w:val="22"/>
        </w:rPr>
        <w:t>, 7/E by William H. Greene</w:t>
      </w:r>
      <w:r>
        <w:rPr>
          <w:rFonts w:ascii="Times New Roman"/>
          <w:sz w:val="22"/>
        </w:rPr>
        <w:t>, published by Prentice Hall (Pearson) with the copyright</w:t>
      </w:r>
      <w:r>
        <w:rPr>
          <w:rFonts w:ascii="Times New Roman"/>
          <w:spacing w:val="-26"/>
          <w:sz w:val="22"/>
        </w:rPr>
        <w:t> </w:t>
      </w:r>
      <w:r>
        <w:rPr>
          <w:rFonts w:ascii="Times New Roman"/>
          <w:sz w:val="22"/>
        </w:rPr>
        <w:t>date of 2012 and ISBN-10: 0131395386 and ISBN-13: 9780131395381. Professor Greene maintains a webpage for the </w:t>
      </w:r>
      <w:r>
        <w:rPr>
          <w:rFonts w:ascii="Times New Roman"/>
          <w:sz w:val="22"/>
        </w:rPr>
        <w:t>textbook at </w:t>
      </w:r>
      <w:r>
        <w:rPr>
          <w:rFonts w:ascii="Times New Roman"/>
          <w:color w:val="0000FF"/>
          <w:sz w:val="22"/>
        </w:rPr>
      </w:r>
      <w:hyperlink r:id="rId7">
        <w:r>
          <w:rPr>
            <w:rFonts w:ascii="Times New Roman"/>
            <w:color w:val="0000FF"/>
            <w:sz w:val="22"/>
            <w:u w:val="single" w:color="0000FF"/>
          </w:rPr>
          <w:t>http://people.stern.nyu.edu/wgreene/Text/econometricanalysis.htm</w:t>
        </w:r>
        <w:r>
          <w:rPr>
            <w:rFonts w:ascii="Times New Roman"/>
            <w:color w:val="0000FF"/>
            <w:sz w:val="22"/>
          </w:rPr>
        </w:r>
        <w:r>
          <w:rPr>
            <w:rFonts w:ascii="Times New Roman"/>
            <w:sz w:val="22"/>
          </w:rPr>
          <w:t>.</w:t>
        </w:r>
      </w:hyperlink>
      <w:r>
        <w:rPr>
          <w:rFonts w:ascii="Times New Roman"/>
          <w:sz w:val="22"/>
        </w:rPr>
        <w:t> Recommended reading also </w:t>
      </w:r>
      <w:r>
        <w:rPr>
          <w:rFonts w:ascii="Times New Roman"/>
          <w:sz w:val="22"/>
        </w:rPr>
        <w:t>includes </w:t>
      </w:r>
      <w:r>
        <w:rPr>
          <w:rFonts w:ascii="Times New Roman"/>
          <w:i/>
          <w:sz w:val="22"/>
        </w:rPr>
      </w:r>
      <w:r>
        <w:rPr>
          <w:rFonts w:ascii="Times New Roman"/>
          <w:i/>
          <w:sz w:val="22"/>
          <w:u w:val="single" w:color="000000"/>
        </w:rPr>
        <w:t>An Introduction to Statistical Learning with applications in R </w:t>
      </w:r>
      <w:r>
        <w:rPr>
          <w:rFonts w:ascii="Times New Roman"/>
          <w:i/>
          <w:sz w:val="22"/>
        </w:rPr>
        <w:t>(ISLR) </w:t>
      </w:r>
      <w:r>
        <w:rPr>
          <w:rFonts w:ascii="Times New Roman"/>
          <w:sz w:val="22"/>
        </w:rPr>
        <w:t>by </w:t>
      </w:r>
      <w:r>
        <w:rPr>
          <w:rFonts w:ascii="Times New Roman"/>
          <w:i/>
          <w:sz w:val="22"/>
        </w:rPr>
        <w:t>G. James, D. Witten, </w:t>
      </w:r>
      <w:r>
        <w:rPr>
          <w:rFonts w:ascii="Times New Roman"/>
          <w:i/>
          <w:spacing w:val="-9"/>
          <w:sz w:val="22"/>
        </w:rPr>
        <w:t>T. </w:t>
      </w:r>
      <w:r>
        <w:rPr>
          <w:rFonts w:ascii="Times New Roman"/>
          <w:i/>
          <w:sz w:val="22"/>
        </w:rPr>
        <w:t>Hastie </w:t>
      </w:r>
      <w:r>
        <w:rPr>
          <w:rFonts w:ascii="Times New Roman"/>
          <w:i/>
          <w:sz w:val="22"/>
        </w:rPr>
        <w:t>and R. Tibshirani</w:t>
      </w:r>
      <w:r>
        <w:rPr>
          <w:rFonts w:ascii="Times New Roman"/>
          <w:i/>
          <w:spacing w:val="-22"/>
          <w:sz w:val="22"/>
        </w:rPr>
        <w:t> </w:t>
      </w:r>
      <w:hyperlink r:id="rId8">
        <w:r>
          <w:rPr>
            <w:rFonts w:ascii="Times New Roman"/>
            <w:i/>
            <w:sz w:val="22"/>
          </w:rPr>
          <w:t>(ht</w:t>
        </w:r>
      </w:hyperlink>
      <w:r>
        <w:rPr>
          <w:rFonts w:ascii="Times New Roman"/>
          <w:i/>
          <w:sz w:val="22"/>
        </w:rPr>
        <w:t>t</w:t>
      </w:r>
      <w:hyperlink r:id="rId8">
        <w:r>
          <w:rPr>
            <w:rFonts w:ascii="Times New Roman"/>
            <w:i/>
            <w:sz w:val="22"/>
          </w:rPr>
          <w:t>p://www-bcf.usc.edu/~gareth/ISL/)</w:t>
        </w:r>
        <w:r>
          <w:rPr>
            <w:rFonts w:ascii="Times New Roman"/>
            <w:sz w:val="22"/>
          </w:rPr>
          <w:t>.</w:t>
        </w:r>
      </w:hyperlink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exact"/>
        <w:ind w:right="106"/>
        <w:jc w:val="both"/>
      </w:pPr>
      <w:r>
        <w:rPr>
          <w:rFonts w:ascii="Times New Roman"/>
          <w:b/>
        </w:rPr>
        <w:t>Computer Requirement: </w:t>
      </w:r>
      <w:r>
        <w:rPr/>
        <w:t>The software we will use for both semesters will be </w:t>
      </w:r>
      <w:r>
        <w:rPr>
          <w:u w:val="single" w:color="000000"/>
        </w:rPr>
        <w:t>R</w:t>
      </w:r>
      <w:r>
        <w:rPr/>
        <w:t>. Software related issues and </w:t>
      </w:r>
      <w:r>
        <w:rPr/>
        <w:t>questions should be resolved in the lab sessions. Students who prefer to use an alternative econometric package or language should consult with me first.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exact"/>
        <w:ind w:left="819" w:right="3800" w:hanging="720"/>
        <w:jc w:val="left"/>
      </w:pPr>
      <w:r>
        <w:rPr>
          <w:rFonts w:ascii="Times New Roman"/>
          <w:b/>
        </w:rPr>
        <w:t>Grade: </w:t>
      </w:r>
      <w:r>
        <w:rPr>
          <w:spacing w:val="-6"/>
        </w:rPr>
        <w:t>Your </w:t>
      </w:r>
      <w:r>
        <w:rPr/>
        <w:t>course grade will be made up of the following components: </w:t>
      </w:r>
      <w:r>
        <w:rPr/>
        <w:t>Midterm: 20%</w:t>
      </w:r>
    </w:p>
    <w:p>
      <w:pPr>
        <w:pStyle w:val="BodyText"/>
        <w:spacing w:line="233" w:lineRule="exact"/>
        <w:ind w:left="819" w:right="294"/>
        <w:jc w:val="left"/>
      </w:pPr>
      <w:r>
        <w:rPr/>
        <w:t>Final: 25%</w:t>
      </w:r>
    </w:p>
    <w:p>
      <w:pPr>
        <w:pStyle w:val="BodyText"/>
        <w:spacing w:line="240" w:lineRule="exact"/>
        <w:ind w:left="819" w:right="294"/>
        <w:jc w:val="left"/>
      </w:pPr>
      <w:r>
        <w:rPr/>
        <w:t>Project: 35%</w:t>
      </w:r>
    </w:p>
    <w:p>
      <w:pPr>
        <w:pStyle w:val="BodyText"/>
        <w:spacing w:line="246" w:lineRule="exact"/>
        <w:ind w:left="819" w:right="294"/>
        <w:jc w:val="left"/>
      </w:pPr>
      <w:r>
        <w:rPr/>
        <w:t>Problem Sets: 20%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exact"/>
        <w:ind w:right="106"/>
        <w:jc w:val="both"/>
      </w:pPr>
      <w:r>
        <w:rPr>
          <w:rFonts w:ascii="Times New Roman"/>
          <w:b/>
        </w:rPr>
        <w:t>Exams </w:t>
      </w:r>
      <w:r>
        <w:rPr/>
        <w:t>The Midterm will cover the material in the lectures 1 to 6. The Final will be based on the material from the </w:t>
      </w:r>
      <w:r>
        <w:rPr>
          <w:u w:val="single" w:color="000000"/>
        </w:rPr>
        <w:t>beginning </w:t>
      </w:r>
      <w:r>
        <w:rPr/>
        <w:t>of the semester and will be given during Finals week.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exact" w:before="85"/>
        <w:ind w:right="106"/>
        <w:jc w:val="both"/>
      </w:pPr>
      <w:r>
        <w:rPr>
          <w:rFonts w:ascii="Times New Roman"/>
          <w:b/>
        </w:rPr>
        <w:t>The Project </w:t>
      </w:r>
      <w:r>
        <w:rPr/>
        <w:t>is an applied econometric research project that relates to the material covered in the course. </w:t>
      </w:r>
      <w:r>
        <w:rPr>
          <w:spacing w:val="-8"/>
        </w:rPr>
        <w:t>You </w:t>
      </w:r>
      <w:r>
        <w:rPr/>
        <w:t>will </w:t>
      </w:r>
      <w:r>
        <w:rPr/>
        <w:t>work on the project in groups of 2 to 3 students and present the findings of your research to the class at the final lecture of the semester. Further information regarding the project will be provided in the first two</w:t>
      </w:r>
      <w:r>
        <w:rPr>
          <w:spacing w:val="-13"/>
        </w:rPr>
        <w:t> </w:t>
      </w:r>
      <w:r>
        <w:rPr/>
        <w:t>lectures.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exact"/>
        <w:ind w:right="107"/>
        <w:jc w:val="both"/>
      </w:pPr>
      <w:r>
        <w:rPr>
          <w:rFonts w:ascii="Times New Roman"/>
          <w:b/>
        </w:rPr>
        <w:t>Problem Sets</w:t>
      </w:r>
      <w:r>
        <w:rPr/>
        <w:t>: There will be 5 problem sets during the semester and each problem set will be </w:t>
      </w:r>
      <w:r>
        <w:rPr>
          <w:u w:val="single" w:color="000000"/>
        </w:rPr>
        <w:t>worth 4% </w:t>
      </w:r>
      <w:r>
        <w:rPr/>
        <w:t>of your </w:t>
      </w:r>
      <w:r>
        <w:rPr/>
        <w:t>grade. Problem sets are due promptly at </w:t>
      </w:r>
      <w:r>
        <w:rPr>
          <w:u w:val="single" w:color="000000"/>
        </w:rPr>
        <w:t>2:00pm on the due</w:t>
      </w:r>
      <w:r>
        <w:rPr>
          <w:spacing w:val="1"/>
          <w:u w:val="single" w:color="000000"/>
        </w:rPr>
        <w:t> </w:t>
      </w:r>
      <w:r>
        <w:rPr>
          <w:spacing w:val="-4"/>
          <w:u w:val="single" w:color="000000"/>
        </w:rPr>
        <w:t>day</w:t>
      </w:r>
      <w:r>
        <w:rPr>
          <w:spacing w:val="-4"/>
        </w:rPr>
        <w:t>.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exact" w:before="85"/>
        <w:ind w:right="107"/>
        <w:jc w:val="both"/>
      </w:pPr>
      <w:r>
        <w:rPr>
          <w:rFonts w:ascii="Times New Roman"/>
          <w:b/>
        </w:rPr>
        <w:t>NYU Classes </w:t>
      </w:r>
      <w:r>
        <w:rPr/>
        <w:t>is a major tool for this course. Folders for each topic listed on the schedule with slides and readings will be posted as well as announcements and any supplementary reading. </w:t>
      </w:r>
      <w:r>
        <w:rPr>
          <w:spacing w:val="-8"/>
        </w:rPr>
        <w:t>You </w:t>
      </w:r>
      <w:r>
        <w:rPr/>
        <w:t>are </w:t>
      </w:r>
      <w:r>
        <w:rPr>
          <w:u w:val="single" w:color="000000"/>
        </w:rPr>
        <w:t>expected to login </w:t>
      </w:r>
      <w:r>
        <w:rPr/>
        <w:t>to NYU </w:t>
      </w:r>
      <w:r>
        <w:rPr/>
        <w:t>Classes between classes.</w:t>
      </w:r>
    </w:p>
    <w:p>
      <w:pPr>
        <w:spacing w:after="0" w:line="240" w:lineRule="exact"/>
        <w:jc w:val="both"/>
        <w:sectPr>
          <w:type w:val="continuous"/>
          <w:pgSz w:w="12240" w:h="15840"/>
          <w:pgMar w:top="500" w:bottom="280" w:left="980" w:right="900"/>
        </w:sect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837"/>
        <w:gridCol w:w="6398"/>
        <w:gridCol w:w="2214"/>
      </w:tblGrid>
      <w:tr>
        <w:trPr>
          <w:trHeight w:val="324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36"/>
              <w:ind w:right="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3"/>
                <w:sz w:val="20"/>
              </w:rPr>
              <w:t>Week</w:t>
            </w:r>
            <w:r>
              <w:rPr>
                <w:rFonts w:ascii="Times New Roman"/>
                <w:spacing w:val="-3"/>
                <w:sz w:val="20"/>
              </w:rPr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36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36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Subject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36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Reading*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2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Jan 28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Estimation Frameworks in Econometrics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Maximum Likelihood Estimation  &amp; Simulation Estimation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(No Lab, Class will run through Lab hours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too)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12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25" w:lineRule="exact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14.1-14.7 14.9.1,</w:t>
            </w:r>
          </w:p>
          <w:p>
            <w:pPr>
              <w:pStyle w:val="TableParagraph"/>
              <w:spacing w:line="225" w:lineRule="exact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14.9.2, 14.9.4, 15.1-15.5</w:t>
            </w:r>
          </w:p>
        </w:tc>
      </w:tr>
      <w:tr>
        <w:trPr>
          <w:trHeight w:val="88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Feb 4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Lab will run through both class and Lab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hours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left="41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N/A</w:t>
            </w:r>
          </w:p>
        </w:tc>
      </w:tr>
      <w:tr>
        <w:trPr>
          <w:trHeight w:val="67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Feb </w:t>
            </w:r>
            <w:r>
              <w:rPr>
                <w:rFonts w:ascii="Times New Roman"/>
                <w:spacing w:val="-8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Generalized Method of Moments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13</w:t>
            </w:r>
          </w:p>
        </w:tc>
      </w:tr>
      <w:tr>
        <w:trPr>
          <w:trHeight w:val="88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Feb 18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Bayesian Estimation &amp; Inference</w:t>
            </w: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Problem Set 1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16</w:t>
            </w:r>
          </w:p>
        </w:tc>
      </w:tr>
      <w:tr>
        <w:trPr>
          <w:trHeight w:val="88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Feb 25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Panel Data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11.1-11.5</w:t>
            </w:r>
          </w:p>
        </w:tc>
      </w:tr>
      <w:tr>
        <w:trPr>
          <w:trHeight w:val="90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 3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Discrete Choice &amp; Classification (Topics in Micro-Econometrics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I)</w:t>
            </w: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Problem Set 2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22" w:lineRule="exact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17.1, 17.2, 17.3</w:t>
            </w:r>
          </w:p>
          <w:p>
            <w:pPr>
              <w:pStyle w:val="TableParagraph"/>
              <w:spacing w:line="220" w:lineRule="exact" w:before="5"/>
              <w:ind w:left="41" w:right="36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up to (but not) 17.3.5 . ISLR Chapter 4</w:t>
            </w:r>
          </w:p>
        </w:tc>
      </w:tr>
      <w:tr>
        <w:trPr>
          <w:trHeight w:val="89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4E3FE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7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4E3FE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 10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MIDTERM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125"/>
              <w:ind w:right="9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 24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Limited Dependent </w:t>
            </w:r>
            <w:r>
              <w:rPr>
                <w:rFonts w:ascii="Times New Roman"/>
                <w:spacing w:val="-3"/>
                <w:sz w:val="20"/>
              </w:rPr>
              <w:t>Variables </w:t>
            </w:r>
            <w:r>
              <w:rPr>
                <w:rFonts w:ascii="Times New Roman"/>
                <w:sz w:val="20"/>
              </w:rPr>
              <w:t>(Topics in Micro-Econometrics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II)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19</w:t>
            </w:r>
          </w:p>
        </w:tc>
      </w:tr>
      <w:tr>
        <w:trPr>
          <w:trHeight w:val="88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 31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Serial Correlation &amp; Auto-regressions (Topics in Macro-Econometrics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I)</w:t>
            </w: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Problem Set 3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20.1-20.9</w:t>
            </w:r>
          </w:p>
        </w:tc>
      </w:tr>
      <w:tr>
        <w:trPr>
          <w:trHeight w:val="89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Apr 7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Non-Stationarity (Topics in Macro-Econometrics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II)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21</w:t>
            </w:r>
          </w:p>
        </w:tc>
      </w:tr>
      <w:tr>
        <w:trPr>
          <w:trHeight w:val="902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Apr 14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 Space Model (Topics in Macro-Econometrics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III)</w:t>
            </w:r>
          </w:p>
          <w:p>
            <w:pPr>
              <w:pStyle w:val="TableParagraph"/>
              <w:spacing w:line="225" w:lineRule="exact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Problem Set 4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</w:p>
        </w:tc>
      </w:tr>
      <w:tr>
        <w:trPr>
          <w:trHeight w:val="67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Apr 21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Cointegration (Topics in Macro-Econometrics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III)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21</w:t>
            </w:r>
          </w:p>
        </w:tc>
      </w:tr>
      <w:tr>
        <w:trPr>
          <w:trHeight w:val="89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Apr 28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Conditional Heteroskedasticity (Topics in Financial-Econometrics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I)</w:t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20" w:lineRule="exact"/>
              <w:ind w:left="41" w:right="161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Chapter 20.10 &amp; Lecture Notes</w:t>
            </w:r>
          </w:p>
        </w:tc>
      </w:tr>
      <w:tr>
        <w:trPr>
          <w:trHeight w:val="89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 5</w:t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</w:p>
          <w:p>
            <w:pPr>
              <w:pStyle w:val="TableParagraph"/>
              <w:spacing w:line="220" w:lineRule="exact"/>
              <w:ind w:left="39" w:right="3992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Paper Presentation in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</w:t>
            </w:r>
            <w:r>
              <w:rPr>
                <w:rFonts w:ascii="Times New Roman"/>
                <w:b/>
                <w:sz w:val="20"/>
              </w:rPr>
              <w:t>Problem Set 5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>
            <w:pPr/>
          </w:p>
        </w:tc>
      </w:tr>
      <w:tr>
        <w:trPr>
          <w:trHeight w:val="890" w:hRule="exact"/>
        </w:trPr>
        <w:tc>
          <w:tcPr>
            <w:tcW w:w="6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0E1F4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6D6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May 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6D6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20" w:lineRule="exact"/>
              <w:ind w:left="39" w:right="2516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Paper submitted via NYU Classes by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4:00pm </w:t>
            </w:r>
            <w:r>
              <w:rPr>
                <w:rFonts w:ascii="Times New Roman"/>
                <w:b/>
                <w:sz w:val="20"/>
              </w:rPr>
              <w:t>FINAL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D6D6"/>
          </w:tcPr>
          <w:p>
            <w:pPr/>
          </w:p>
        </w:tc>
      </w:tr>
    </w:tbl>
    <w:sectPr>
      <w:pgSz w:w="12240" w:h="15840"/>
      <w:pgMar w:top="104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2"/>
      <w:szCs w:val="22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orge.lentzas@nyu.edu" TargetMode="External"/><Relationship Id="rId6" Type="http://schemas.openxmlformats.org/officeDocument/2006/relationships/hyperlink" Target="mailto:cristian.fuenzalida@nyu.edu" TargetMode="External"/><Relationship Id="rId7" Type="http://schemas.openxmlformats.org/officeDocument/2006/relationships/hyperlink" Target="http://people.stern.nyu.edu/wgreene/Text/econometricanalysis.htm" TargetMode="External"/><Relationship Id="rId8" Type="http://schemas.openxmlformats.org/officeDocument/2006/relationships/hyperlink" Target="http://www-bcf.usc.edu/%7Egareth/ISL/)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2016-10-05T14:36:21Z</dcterms:created>
  <dcterms:modified xsi:type="dcterms:W3CDTF">2016-10-05T14:36:21Z</dcterms:modified>
</cp:coreProperties>
</file>