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</w:pPr>
      <w:r>
        <w:rPr>
          <w:rFonts w:ascii="Arial" w:hAnsi="Arial"/>
          <w:b/>
          <w:color w:val="2E74B5"/>
          <w:sz w:val="20"/>
        </w:rPr>
        <w:t>TOKENOMICS DECISION BRIEF</w:t>
      </w:r>
    </w:p>
    <w:p>
      <w:pPr>
        <w:spacing w:after="120"/>
      </w:pPr>
      <w:r>
        <w:rPr>
          <w:rFonts w:ascii="Arial" w:hAnsi="Arial"/>
          <w:b/>
          <w:color w:val="0B2545"/>
          <w:sz w:val="54"/>
        </w:rPr>
        <w:t>An AI-native, work-released currency</w:t>
      </w:r>
    </w:p>
    <w:p>
      <w:pPr>
        <w:spacing w:after="360"/>
      </w:pPr>
      <w:r>
        <w:rPr>
          <w:color w:val="5B6573"/>
          <w:sz w:val="26"/>
        </w:rPr>
        <w:t>A research-backed proposal for issuance, treasury, fees and agent payments.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B2545"/>
                <w:sz w:val="20"/>
              </w:rPr>
              <w:t>Decision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Use a capped, work-released native utility token; use stablecoins for agent payments.</w:t>
            </w:r>
          </w:p>
        </w:tc>
      </w:tr>
    </w:tbl>
    <w:p>
      <w:pPr>
        <w:pStyle w:val="Heading1"/>
      </w:pPr>
      <w:r>
        <w:t>The answer in one page</w:t>
      </w:r>
    </w:p>
    <w:p>
      <w:pPr>
        <w:spacing w:after="120" w:line="264" w:lineRule="auto"/>
      </w:pPr>
      <w:r>
        <w:t>Your instinct is directionally right: reserve most supply for demonstrated network utility. But do not make supply an open-ended function of workload. That creates an incentive to manufacture workload. Instead, work should unlock a bounded reserve under hard epoch caps and independent verification.</w:t>
      </w:r>
    </w:p>
    <w:p>
      <w:pPr>
        <w:pStyle w:val="ListBullet"/>
        <w:spacing w:after="80" w:line="276" w:lineRule="auto"/>
      </w:pPr>
      <w:r>
        <w:t>Small initial treasury, not a large pre-mine: 5% illustrative genesis allocation, mostly time-locked and publicly budgeted.</w:t>
      </w:r>
    </w:p>
    <w:p>
      <w:pPr>
        <w:pStyle w:val="ListBullet"/>
        <w:spacing w:after="80" w:line="276" w:lineRule="auto"/>
      </w:pPr>
      <w:r>
        <w:t>Most issuance is released only after a paid, verified result: the Work Receipt is the economic primitive.</w:t>
      </w:r>
    </w:p>
    <w:p>
      <w:pPr>
        <w:pStyle w:val="ListBullet"/>
        <w:spacing w:after="80" w:line="276" w:lineRule="auto"/>
      </w:pPr>
      <w:r>
        <w:t>Use a dynamic base protocol fee and burn it; do not rely on burn as the primary inflation-control mechanism.</w:t>
      </w:r>
    </w:p>
    <w:p>
      <w:pPr>
        <w:pStyle w:val="ListBullet"/>
        <w:spacing w:after="80" w:line="276" w:lineRule="auto"/>
      </w:pPr>
      <w:r>
        <w:t>Use stablecoins for agent pricing and budgets. Make the native token the assurance, staking and reward asset - not a volatile tollbooth for every API call.</w:t>
      </w:r>
    </w:p>
    <w:p>
      <w:pPr>
        <w:pStyle w:val="Heading1"/>
      </w:pPr>
      <w:r>
        <w:t>Recommended design: Proof-of-Useful-Settlement</w:t>
      </w:r>
    </w:p>
    <w:p>
      <w:pPr>
        <w:spacing w:after="120" w:line="264" w:lineRule="auto"/>
      </w:pPr>
      <w:r>
        <w:t>A completed job creates a signed Work Receipt: request commitment, stablecoin quote/payment attestation, execution evidence, output hash, buyer acceptance (or expiry), independent quality score and dispute result. Only receipts with an independent buyer, a unique request, task-specific verification, and sufficient bond/reputation may unlock rewards.</w:t>
      </w:r>
    </w:p>
    <w:p>
      <w:pPr>
        <w:spacing w:after="120" w:line="264" w:lineRule="auto"/>
      </w:pPr>
      <w:r>
        <w:t>Keep prompts, inputs and outputs private; store commitments and selective audit evidence rather than raw AI data. The system rewards paid and verified settlement, not GPU seconds, prompts, token transfers, or self-reported activity.</w:t>
      </w:r>
    </w:p>
    <w:p>
      <w:pPr>
        <w:pStyle w:val="Heading1"/>
      </w:pPr>
      <w:r>
        <w:t>Illustrative supply policy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440"/>
        <w:gridCol w:w="5976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B2545"/>
                <w:sz w:val="19"/>
              </w:rPr>
              <w:t>Pool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B2545"/>
                <w:sz w:val="19"/>
              </w:rPr>
              <w:t>Share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B2545"/>
                <w:sz w:val="19"/>
              </w:rPr>
              <w:t>Release rule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Genesis treasury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5%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1% operating runway, 24-month linear release; 4% governed R&amp;D/community treasury, timelocked. No mint key.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Verified work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55%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70% slow time release; 30% only as public useful-work baseline is reached. Unreleased supply is not discretionary treasury.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Security/verification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25%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Validators, challengers, availability and disputes. Predictable decay; review a tail emission only before it begins.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Ecosystem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Grants, interoperability and early liquidity with on-chain vesting and public recipient disclosure.</w:t>
            </w:r>
          </w:p>
        </w:tc>
      </w:tr>
    </w:tbl>
    <w:p>
      <w:pPr>
        <w:spacing w:after="120" w:line="264" w:lineRule="auto"/>
      </w:pPr>
      <w:r>
        <w:t>Illustration only: use a supply simulator before setting any numbers. The meaningful commitments are the maximum supply, release caps, vesting, disclosure, and absence of privileged minting.</w:t>
      </w:r>
    </w:p>
    <w:p>
      <w:r>
        <w:br w:type="page"/>
      </w:r>
    </w:p>
    <w:p>
      <w:pPr>
        <w:pStyle w:val="Heading1"/>
      </w:pPr>
      <w:r>
        <w:t>How issuance should actually work</w:t>
      </w:r>
    </w:p>
    <w:p>
      <w:pPr>
        <w:spacing w:after="120" w:line="264" w:lineRule="auto"/>
      </w:pPr>
      <w:r>
        <w:t>Set a hard maximum supply (the report uses 1 billion units only as an example). Each epoch releases:</w:t>
      </w:r>
    </w:p>
    <w:p>
      <w:pPr>
        <w:spacing w:before="160" w:after="200"/>
        <w:jc w:val="center"/>
      </w:pPr>
      <w:r>
        <w:rPr>
          <w:b/>
          <w:color w:val="0B2545"/>
        </w:rPr>
        <w:t>work release = min(epoch cap, reserve remaining, quality-adjusted settlement score x release factor)</w:t>
      </w:r>
    </w:p>
    <w:p>
      <w:pPr>
        <w:spacing w:after="120" w:line="264" w:lineRule="auto"/>
      </w:pPr>
      <w:r>
        <w:t>The epoch cap is the crucial constraint. Cap scores by buyer, worker, verifier group, task family and epoch; discount correlated identities; and delay finality for disputes. Start with mostly time-based release until scoring has survived live adversarial testing.</w:t>
      </w:r>
    </w:p>
    <w:p>
      <w:pPr>
        <w:pStyle w:val="Heading2"/>
      </w:pPr>
      <w:r>
        <w:t>Why raw workload fails</w:t>
      </w:r>
    </w:p>
    <w:p>
      <w:pPr>
        <w:pStyle w:val="ListBullet"/>
        <w:spacing w:after="80" w:line="276" w:lineRule="auto"/>
      </w:pPr>
      <w:r>
        <w:t>A worker can generate its own jobs, recycle prompts, over-compute, or create Sybil buyers.</w:t>
      </w:r>
    </w:p>
    <w:p>
      <w:pPr>
        <w:pStyle w:val="ListBullet"/>
        <w:spacing w:after="80" w:line="276" w:lineRule="auto"/>
      </w:pPr>
      <w:r>
        <w:t>Subjective AI quality cannot be inferred from cost or token count; it needs validation and a challenge path.</w:t>
      </w:r>
    </w:p>
    <w:p>
      <w:pPr>
        <w:pStyle w:val="ListBullet"/>
        <w:spacing w:after="80" w:line="276" w:lineRule="auto"/>
      </w:pPr>
      <w:r>
        <w:t>A work metric becomes the target. Anything measurable must be assumed gameable until the economics make gaming uneconomic.</w:t>
      </w:r>
    </w:p>
    <w:p>
      <w:pPr>
        <w:pStyle w:val="Heading2"/>
      </w:pPr>
      <w:r>
        <w:t>Controls needed before rewards expand</w:t>
      </w:r>
    </w:p>
    <w:p>
      <w:pPr>
        <w:pStyle w:val="ListBullet"/>
        <w:spacing w:after="80" w:line="276" w:lineRule="auto"/>
      </w:pPr>
      <w:r>
        <w:t>Independent buyer requirement, buyer deposits for high-value work, and limits on affiliated activity.</w:t>
      </w:r>
    </w:p>
    <w:p>
      <w:pPr>
        <w:pStyle w:val="ListBullet"/>
        <w:spacing w:after="80" w:line="276" w:lineRule="auto"/>
      </w:pPr>
      <w:r>
        <w:t>Staking plus slashing for workers and verifiers; random re-execution and paid challengers.</w:t>
      </w:r>
    </w:p>
    <w:p>
      <w:pPr>
        <w:pStyle w:val="ListBullet"/>
        <w:spacing w:after="80" w:line="276" w:lineRule="auto"/>
      </w:pPr>
      <w:r>
        <w:t>Task-specific proofs where possible: deterministic replay, benchmark suites, TEEs, or zero-knowledge verification. Use subjective validator consensus only where objective checking is impossible.</w:t>
      </w:r>
    </w:p>
    <w:p>
      <w:pPr>
        <w:pStyle w:val="ListBullet"/>
        <w:spacing w:after="80" w:line="276" w:lineRule="auto"/>
      </w:pPr>
      <w:r>
        <w:t>A public receipts schema, fraud taxonomy, audit dashboard and worst-case supply simulator.</w:t>
      </w:r>
    </w:p>
    <w:p>
      <w:pPr>
        <w:pStyle w:val="Heading1"/>
      </w:pPr>
      <w:r>
        <w:t>Conventional options compared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3528"/>
        <w:gridCol w:w="3600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B2545"/>
                <w:sz w:val="19"/>
              </w:rPr>
              <w:t>Model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B2545"/>
                <w:sz w:val="19"/>
              </w:rPr>
              <w:t>Strength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B2545"/>
                <w:sz w:val="19"/>
              </w:rPr>
              <w:t>Failure mode / fit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Fixed halving / hard cap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Simple, credible and easy to model.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Pays even when demand is zero; still needs a security budget.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Pure fee-only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dilution after launch.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Underfunds early security and verification before usage exists.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Uncapped work inflation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Strong immediate worker incentive.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Rewards manufactured activity; supply and agent economics become unpredictable.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Governance-set inflation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Flexible for changing conditions.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Weak credible neutrality and easy political capture.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Capped work release (recommended)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Connects issuance to utility while bounding supply.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Needs a conservative verifier and anti-fraud design.</w:t>
            </w:r>
          </w:p>
        </w:tc>
      </w:tr>
    </w:tbl>
    <w:p>
      <w:r>
        <w:br w:type="page"/>
      </w:r>
    </w:p>
    <w:p>
      <w:pPr>
        <w:pStyle w:val="Heading1"/>
      </w:pPr>
      <w:r>
        <w:t>Burns, fees and treasury discipline</w:t>
      </w:r>
    </w:p>
    <w:p>
      <w:pPr>
        <w:pStyle w:val="Heading2"/>
      </w:pPr>
      <w:r>
        <w:t>Burn a base fee; do not burn worker income</w:t>
      </w:r>
    </w:p>
    <w:p>
      <w:pPr>
        <w:spacing w:after="120" w:line="264" w:lineRule="auto"/>
      </w:pPr>
      <w:r>
        <w:t>Adopt a dynamic base protocol fee for settlement/verification bandwidth and burn it. Charge a separate explicit priority/service fee to compensate block producers and verifiers. This mirrors the valuable separation in EIP-1559: the party selecting transactions does not receive the base fee it can influence.</w:t>
      </w:r>
    </w:p>
    <w:p>
      <w:pPr>
        <w:pStyle w:val="ListBullet"/>
        <w:spacing w:after="80" w:line="276" w:lineRule="auto"/>
      </w:pPr>
      <w:r>
        <w:t>Inflation control comes first from the maximum supply, epoch caps and vesting - not from burn forecasts.</w:t>
      </w:r>
    </w:p>
    <w:p>
      <w:pPr>
        <w:pStyle w:val="ListBullet"/>
        <w:spacing w:after="80" w:line="276" w:lineRule="auto"/>
      </w:pPr>
      <w:r>
        <w:t>Burn is demand-dependent: quiet periods may burn almost nothing. Never market a deflation promise.</w:t>
      </w:r>
    </w:p>
    <w:p>
      <w:pPr>
        <w:pStyle w:val="ListBullet"/>
        <w:spacing w:after="80" w:line="276" w:lineRule="auto"/>
      </w:pPr>
      <w:r>
        <w:t>For slashing, pay a portion to the successful challenger and burn a portion. Detection needs an economic reward.</w:t>
      </w:r>
    </w:p>
    <w:p>
      <w:pPr>
        <w:pStyle w:val="Heading2"/>
      </w:pPr>
      <w:r>
        <w:t>Treasury principles</w:t>
      </w:r>
    </w:p>
    <w:p>
      <w:pPr>
        <w:pStyle w:val="ListBullet"/>
        <w:spacing w:after="80" w:line="276" w:lineRule="auto"/>
      </w:pPr>
      <w:r>
        <w:t>Publish balances, unlock calendar, wallets, spending mandate, grants and recipient disclosures.</w:t>
      </w:r>
    </w:p>
    <w:p>
      <w:pPr>
        <w:pStyle w:val="ListBullet"/>
        <w:spacing w:after="80" w:line="276" w:lineRule="auto"/>
      </w:pPr>
      <w:r>
        <w:t>Use a timelock, multisignature and narrow emergency powers. An emergency should pause a subsystem, not create new tokens.</w:t>
      </w:r>
    </w:p>
    <w:p>
      <w:pPr>
        <w:pStyle w:val="ListBullet"/>
        <w:spacing w:after="80" w:line="276" w:lineRule="auto"/>
      </w:pPr>
      <w:r>
        <w:t>Keep team and foundation compensation separate from the work reserve. Avoid ambiguous labels such as “ecosystem” that hide discretionary dilution.</w:t>
      </w:r>
    </w:p>
    <w:p>
      <w:pPr>
        <w:pStyle w:val="Heading1"/>
      </w:pPr>
      <w:r>
        <w:t>AI-friendly currency: two rails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456"/>
        <w:gridCol w:w="3960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B2545"/>
                <w:sz w:val="19"/>
              </w:rPr>
              <w:t>Rail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B2545"/>
                <w:sz w:val="19"/>
              </w:rPr>
              <w:t>Use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B2545"/>
                <w:sz w:val="19"/>
              </w:rPr>
              <w:t>Why it matters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Stable payment rail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USDC-style quotes and x402-compatible HTTP 402 settlement for APIs, data, compute and agent services.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Agents can set real budgets and compare providers without exposure to native-token volatility.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Native assurance rail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Stake, validation rewards, challenge bonds, slashing, Work Receipt rewards and constrained governance.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The token has a necessary security role without forcing every user to speculate before buying a service.</w:t>
            </w:r>
          </w:p>
        </w:tc>
      </w:tr>
    </w:tbl>
    <w:p>
      <w:pPr>
        <w:pStyle w:val="Heading2"/>
      </w:pPr>
      <w:r>
        <w:t>What is actually unique</w:t>
      </w:r>
    </w:p>
    <w:p>
      <w:pPr>
        <w:spacing w:after="120" w:line="264" w:lineRule="auto"/>
      </w:pPr>
      <w:r>
        <w:t>Not “AI coin.” The differentiator is a portable Work Receipt: a cryptographically signed, privacy-preserving proof that a named agent bought or delivered a verified service at an agreed price. It can feed reputation, unlock a bounded work reserve, support disputes, and allow agents to accumulate a credible service history across marketplaces.</w:t>
      </w:r>
    </w:p>
    <w:p>
      <w:pPr>
        <w:spacing w:after="120" w:line="264" w:lineRule="auto"/>
      </w:pPr>
      <w:r>
        <w:t>Pair that receipt with portable agent identity, reputation and validation. Keep trust separate from payments: payments settle value; validation establishes whether the value was delivered.</w:t>
      </w:r>
    </w:p>
    <w:p>
      <w:r>
        <w:br w:type="page"/>
      </w:r>
    </w:p>
    <w:p>
      <w:pPr>
        <w:pStyle w:val="Heading1"/>
      </w:pPr>
      <w:r>
        <w:t>Launch roadmap and decision gates</w:t>
      </w:r>
    </w:p>
    <w:p>
      <w:pPr>
        <w:pStyle w:val="Heading2"/>
      </w:pPr>
      <w:r>
        <w:t>0. Simulate and specify</w:t>
      </w:r>
    </w:p>
    <w:p>
      <w:pPr>
        <w:spacing w:after="120" w:line="264" w:lineRule="auto"/>
      </w:pPr>
      <w:r>
        <w:t>Publish issuance, fee/burn and treasury scenarios under low, base and high demand. Release the Work Receipt schema, a threat model and audit plan before token distribution.</w:t>
      </w:r>
    </w:p>
    <w:p>
      <w:pPr>
        <w:pStyle w:val="Heading2"/>
      </w:pPr>
      <w:r>
        <w:t>1. Objective tasks only</w:t>
      </w:r>
    </w:p>
    <w:p>
      <w:pPr>
        <w:spacing w:after="120" w:line="264" w:lineRule="auto"/>
      </w:pPr>
      <w:r>
        <w:t>Reward deterministic compute, data availability or benchmarkable inference first. Apply low caps across buyers, workers, verifier groups and task classes.</w:t>
      </w:r>
    </w:p>
    <w:p>
      <w:pPr>
        <w:pStyle w:val="Heading2"/>
      </w:pPr>
      <w:r>
        <w:t>2. Challenge market</w:t>
      </w:r>
    </w:p>
    <w:p>
      <w:pPr>
        <w:spacing w:after="120" w:line="264" w:lineRule="auto"/>
      </w:pPr>
      <w:r>
        <w:t>Before subjective AI tasks, prove random audits, re-execution, bonds, appeals and slashing in production-like adversarial tests.</w:t>
      </w:r>
    </w:p>
    <w:p>
      <w:pPr>
        <w:pStyle w:val="Heading2"/>
      </w:pPr>
      <w:r>
        <w:t>3. Controlled decentralisation</w:t>
      </w:r>
    </w:p>
    <w:p>
      <w:pPr>
        <w:spacing w:after="120" w:line="264" w:lineRule="auto"/>
      </w:pPr>
      <w:r>
        <w:t>Put supply cap, treasury unlocks and burn logic behind long timelocks and supermajority thresholds. Let task scoring evolve faster, but only within bounded budget envelopes.</w:t>
      </w:r>
    </w:p>
    <w:p>
      <w:pPr>
        <w:pStyle w:val="Heading1"/>
      </w:pPr>
      <w:r>
        <w:t>Decision checklist</w:t>
      </w:r>
    </w:p>
    <w:p>
      <w:pPr>
        <w:pStyle w:val="ListBullet"/>
        <w:spacing w:after="80" w:line="276" w:lineRule="auto"/>
      </w:pPr>
      <w:r>
        <w:t>Can a related party manufacture paid demand cheaply enough to profit after fees, bonds and expected slashing?</w:t>
      </w:r>
    </w:p>
    <w:p>
      <w:pPr>
        <w:pStyle w:val="ListBullet"/>
        <w:spacing w:after="80" w:line="276" w:lineRule="auto"/>
      </w:pPr>
      <w:r>
        <w:t>Can an honest verifier profitably challenge bad work?</w:t>
      </w:r>
    </w:p>
    <w:p>
      <w:pPr>
        <w:pStyle w:val="ListBullet"/>
        <w:spacing w:after="80" w:line="276" w:lineRule="auto"/>
      </w:pPr>
      <w:r>
        <w:t>Can an agent quote, authorize and reconcile a service purchase in fiat terms without holding the native token?</w:t>
      </w:r>
    </w:p>
    <w:p>
      <w:pPr>
        <w:pStyle w:val="ListBullet"/>
        <w:spacing w:after="80" w:line="276" w:lineRule="auto"/>
      </w:pPr>
      <w:r>
        <w:t>Is the supply schedule calculable from published state without trusting a foundation?</w:t>
      </w:r>
    </w:p>
    <w:p>
      <w:pPr>
        <w:pStyle w:val="ListBullet"/>
        <w:spacing w:after="80" w:line="276" w:lineRule="auto"/>
      </w:pPr>
      <w:r>
        <w:t>Would the system still pay for security and dispute resolution if usage fell sharply for a year?</w:t>
      </w:r>
    </w:p>
    <w:p>
      <w:pPr>
        <w:pStyle w:val="Heading1"/>
      </w:pPr>
      <w:r>
        <w:t>Legal and communications caution</w:t>
      </w:r>
    </w:p>
    <w:p>
      <w:pPr>
        <w:spacing w:after="120" w:line="264" w:lineRule="auto"/>
      </w:pPr>
      <w:r>
        <w:t>This is not legal or financial advice. In the United States, whether a crypto-asset transaction is an investment contract depends on facts, distribution and promotion. Avoid promises of appreciation, “deflationary” marketing and passive return framing; obtain specialist advice in every target jurisdiction before distribution.</w:t>
      </w:r>
    </w:p>
    <w:p>
      <w:pPr>
        <w:pStyle w:val="Heading1"/>
      </w:pPr>
      <w:r>
        <w:t>Research sources</w:t>
      </w:r>
    </w:p>
    <w:p>
      <w:pPr>
        <w:spacing w:after="60" w:line="252" w:lineRule="auto"/>
      </w:pPr>
      <w:r>
        <w:rPr>
          <w:color w:val="5B6573"/>
          <w:sz w:val="16"/>
        </w:rPr>
        <w:t>Filecoin Docs, “Crypto-economics” (accessed 22 Aug 2026): https://docs.filecoin.io/basics/what-is-filecoin/crypto-economics</w:t>
      </w:r>
    </w:p>
    <w:p>
      <w:pPr>
        <w:spacing w:after="60" w:line="252" w:lineRule="auto"/>
      </w:pPr>
      <w:r>
        <w:rPr>
          <w:color w:val="5B6573"/>
          <w:sz w:val="16"/>
        </w:rPr>
        <w:t>Ethereum, EIP-1559: Fee market change for ETH 1.0 chain (2019): https://eips.ethereum.org/EIPS/eip-1559</w:t>
      </w:r>
    </w:p>
    <w:p>
      <w:pPr>
        <w:spacing w:after="60" w:line="252" w:lineRule="auto"/>
      </w:pPr>
      <w:r>
        <w:rPr>
          <w:color w:val="5B6573"/>
          <w:sz w:val="16"/>
        </w:rPr>
        <w:t>Bittensor Docs, “Emissions” (accessed 22 Aug 2026): https://www.bittensor.com/docs/concepts/emissions</w:t>
      </w:r>
    </w:p>
    <w:p>
      <w:pPr>
        <w:spacing w:after="60" w:line="252" w:lineRule="auto"/>
      </w:pPr>
      <w:r>
        <w:rPr>
          <w:color w:val="5B6573"/>
          <w:sz w:val="16"/>
        </w:rPr>
        <w:t>Coinbase Developer Documentation, “Welcome to x402” (accessed 22 Aug 2026): https://docs.cdp.coinbase.com/x402/welcome</w:t>
      </w:r>
    </w:p>
    <w:p>
      <w:pPr>
        <w:spacing w:after="60" w:line="252" w:lineRule="auto"/>
      </w:pPr>
      <w:r>
        <w:rPr>
          <w:color w:val="5B6573"/>
          <w:sz w:val="16"/>
        </w:rPr>
        <w:t>Ethereum, ERC-8004: Trustless Agents (draft, 2025): https://eips.ethereum.org/EIPS/eip-8004</w:t>
      </w:r>
    </w:p>
    <w:p>
      <w:pPr>
        <w:spacing w:after="60" w:line="252" w:lineRule="auto"/>
      </w:pPr>
      <w:r>
        <w:rPr>
          <w:color w:val="5B6573"/>
          <w:sz w:val="16"/>
        </w:rPr>
        <w:t>ethereum.org, “AI agents” (accessed 22 Aug 2026): https://ethereum.org/ai-agents/</w:t>
      </w:r>
    </w:p>
    <w:p>
      <w:pPr>
        <w:spacing w:after="60" w:line="252" w:lineRule="auto"/>
      </w:pPr>
      <w:r>
        <w:rPr>
          <w:color w:val="5B6573"/>
          <w:sz w:val="16"/>
        </w:rPr>
        <w:t>U.S. SEC, “Transactions Involving Crypto Assets” (Apr. 2026): https://www.sec.gov/resources-small-businesses/capital-raising-building-blocks/transactions-involving-crypto-assets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22 August 2026  |  Research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B6573"/>
        <w:sz w:val="16"/>
      </w:rPr>
      <w:t>TOKENOMICS RESEARCH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