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ind w:firstLine="0"/>
      </w:pPr>
    </w:p>
    <w:p>
      <w:pPr>
        <w:spacing w:line="240" w:lineRule="auto" w:before="0" w:after="0"/>
        <w:ind w:firstLine="0"/>
      </w:pPr>
    </w:p>
    <w:p>
      <w:pPr>
        <w:spacing w:line="240" w:lineRule="auto" w:before="400" w:after="0"/>
        <w:ind w:firstLine="0"/>
        <w:jc w:val="center"/>
      </w:pPr>
      <w:r>
        <w:rPr>
          <w:rFonts w:ascii="Times New Roman" w:hAnsi="Times New Roman" w:eastAsia="黑体"/>
          <w:b/>
          <w:sz w:val="48"/>
        </w:rPr>
        <w:t>本科综合设计（论文）开题报告</w:t>
      </w:r>
    </w:p>
    <w:p>
      <w:pPr>
        <w:spacing w:line="360" w:lineRule="auto" w:before="0" w:after="0"/>
        <w:ind w:firstLine="0"/>
      </w:pPr>
    </w:p>
    <w:p>
      <w:pPr>
        <w:spacing w:line="360" w:lineRule="auto" w:before="0" w:after="0"/>
        <w:ind w:firstLine="0"/>
      </w:pPr>
    </w:p>
    <w:p>
      <w:pPr>
        <w:spacing w:line="360" w:lineRule="auto" w:before="0" w:after="0"/>
        <w:ind w:firstLine="0"/>
      </w:pPr>
    </w:p>
    <w:p>
      <w:pPr>
        <w:spacing w:line="360" w:lineRule="auto" w:before="0" w:after="0"/>
        <w:ind w:firstLine="0"/>
      </w:pPr>
    </w:p>
    <w:p>
      <w:pPr>
        <w:spacing w:line="360" w:lineRule="auto" w:before="0" w:after="0"/>
        <w:ind w:firstLine="0" w:left="1417"/>
        <w:jc w:val="left"/>
      </w:pPr>
      <w:r>
        <w:rPr>
          <w:rFonts w:ascii="Times New Roman" w:hAnsi="Times New Roman" w:eastAsia="黑体"/>
          <w:b/>
          <w:sz w:val="32"/>
        </w:rPr>
        <w:t>题  目：</w:t>
      </w:r>
      <w:r>
        <w:rPr>
          <w:rFonts w:ascii="Times New Roman" w:hAnsi="Times New Roman" w:eastAsia="宋体"/>
          <w:b w:val="0"/>
          <w:sz w:val="28"/>
          <w:u w:val="single"/>
        </w:rPr>
        <w:t>基于条件扩散模型的NGSO星座星地信道</w:t>
      </w:r>
    </w:p>
    <w:p>
      <w:pPr>
        <w:spacing w:line="360" w:lineRule="auto" w:before="0" w:after="0"/>
        <w:ind w:firstLine="0" w:left="1417"/>
        <w:jc w:val="left"/>
      </w:pPr>
      <w:r>
        <w:rPr>
          <w:rFonts w:ascii="Times New Roman" w:hAnsi="Times New Roman" w:eastAsia="宋体"/>
          <w:b/>
          <w:sz w:val="32"/>
        </w:rPr>
        <w:t xml:space="preserve">          </w:t>
      </w:r>
      <w:r>
        <w:rPr>
          <w:rFonts w:ascii="Times New Roman" w:hAnsi="Times New Roman" w:eastAsia="宋体"/>
          <w:b w:val="0"/>
          <w:sz w:val="28"/>
          <w:u w:val="single"/>
        </w:rPr>
        <w:t>生成建模及与CGAN的对比研究</w:t>
      </w:r>
    </w:p>
    <w:p>
      <w:pPr>
        <w:spacing w:line="360" w:lineRule="auto" w:before="0" w:after="0"/>
        <w:ind w:firstLine="0" w:left="1417"/>
        <w:jc w:val="left"/>
      </w:pPr>
      <w:r>
        <w:rPr>
          <w:rFonts w:ascii="Times New Roman" w:hAnsi="Times New Roman" w:eastAsia="黑体"/>
          <w:b/>
          <w:sz w:val="32"/>
        </w:rPr>
        <w:t>专  业：</w:t>
      </w:r>
      <w:r>
        <w:rPr>
          <w:rFonts w:ascii="Times New Roman" w:hAnsi="Times New Roman" w:eastAsia="宋体"/>
          <w:b/>
          <w:sz w:val="32"/>
          <w:u w:val="single"/>
        </w:rPr>
        <w:t xml:space="preserve">                     </w:t>
      </w:r>
    </w:p>
    <w:p>
      <w:pPr>
        <w:spacing w:line="360" w:lineRule="auto" w:before="0" w:after="0"/>
        <w:ind w:firstLine="0" w:left="1417"/>
        <w:jc w:val="left"/>
      </w:pPr>
      <w:r>
        <w:rPr>
          <w:rFonts w:ascii="Times New Roman" w:hAnsi="Times New Roman" w:eastAsia="黑体"/>
          <w:b/>
          <w:sz w:val="32"/>
        </w:rPr>
        <w:t>学  生：</w:t>
      </w:r>
      <w:r>
        <w:rPr>
          <w:rFonts w:ascii="Times New Roman" w:hAnsi="Times New Roman" w:eastAsia="宋体"/>
          <w:b/>
          <w:sz w:val="32"/>
          <w:u w:val="single"/>
        </w:rPr>
        <w:t xml:space="preserve">                     </w:t>
      </w:r>
    </w:p>
    <w:p>
      <w:pPr>
        <w:spacing w:line="360" w:lineRule="auto" w:before="0" w:after="0"/>
        <w:ind w:firstLine="0" w:left="1417"/>
        <w:jc w:val="left"/>
      </w:pPr>
      <w:r>
        <w:rPr>
          <w:rFonts w:ascii="Times New Roman" w:hAnsi="Times New Roman" w:eastAsia="黑体"/>
          <w:b/>
          <w:sz w:val="32"/>
        </w:rPr>
        <w:t>学  号：</w:t>
      </w:r>
      <w:r>
        <w:rPr>
          <w:rFonts w:ascii="Times New Roman" w:hAnsi="Times New Roman" w:eastAsia="宋体"/>
          <w:b/>
          <w:sz w:val="32"/>
          <w:u w:val="single"/>
        </w:rPr>
        <w:t xml:space="preserve">                     </w:t>
      </w:r>
    </w:p>
    <w:p>
      <w:pPr>
        <w:spacing w:line="360" w:lineRule="auto" w:before="0" w:after="0"/>
        <w:ind w:firstLine="0" w:left="1417"/>
        <w:jc w:val="left"/>
      </w:pPr>
      <w:r>
        <w:rPr>
          <w:rFonts w:ascii="Times New Roman" w:hAnsi="Times New Roman" w:eastAsia="黑体"/>
          <w:b/>
          <w:sz w:val="32"/>
        </w:rPr>
        <w:t>指导教师：</w:t>
      </w:r>
      <w:r>
        <w:rPr>
          <w:rFonts w:ascii="Times New Roman" w:hAnsi="Times New Roman" w:eastAsia="宋体"/>
          <w:b/>
          <w:sz w:val="32"/>
          <w:u w:val="single"/>
        </w:rPr>
        <w:t xml:space="preserve">                     </w:t>
      </w:r>
    </w:p>
    <w:p>
      <w:pPr>
        <w:spacing w:line="360" w:lineRule="auto" w:before="0" w:after="0"/>
        <w:ind w:firstLine="0" w:left="1417"/>
        <w:jc w:val="left"/>
      </w:pPr>
      <w:r>
        <w:rPr>
          <w:rFonts w:ascii="Times New Roman" w:hAnsi="Times New Roman" w:eastAsia="黑体"/>
          <w:b/>
          <w:sz w:val="32"/>
        </w:rPr>
        <w:t>日  期：</w:t>
      </w:r>
      <w:r>
        <w:rPr>
          <w:rFonts w:ascii="Times New Roman" w:hAnsi="Times New Roman" w:eastAsia="宋体"/>
          <w:b/>
          <w:sz w:val="32"/>
          <w:u w:val="single"/>
        </w:rPr>
        <w:t xml:space="preserve">                     </w:t>
      </w:r>
    </w:p>
    <w:p>
      <w:pPr>
        <w:spacing w:line="360" w:lineRule="auto" w:before="0" w:after="0"/>
        <w:ind w:firstLine="0"/>
      </w:pPr>
    </w:p>
    <w:p>
      <w:pPr>
        <w:spacing w:line="360" w:lineRule="auto" w:before="0" w:after="0"/>
        <w:ind w:firstLine="0"/>
      </w:pPr>
    </w:p>
    <w:p>
      <w:pPr>
        <w:spacing w:line="360" w:lineRule="auto" w:before="0" w:after="0"/>
        <w:ind w:firstLine="0"/>
      </w:pPr>
    </w:p>
    <w:p>
      <w:pPr>
        <w:spacing w:line="240" w:lineRule="auto" w:before="0" w:after="0"/>
        <w:ind w:firstLine="0"/>
        <w:jc w:val="center"/>
      </w:pPr>
      <w:r>
        <w:rPr>
          <w:rFonts w:ascii="Times New Roman" w:hAnsi="Times New Roman" w:eastAsia="隶书"/>
          <w:b/>
          <w:sz w:val="36"/>
        </w:rPr>
        <w:t>哈尔滨工业大学教务处制</w:t>
      </w:r>
    </w:p>
    <w:p>
      <w:r>
        <w:br w:type="page"/>
      </w:r>
    </w:p>
    <w:p>
      <w:pPr>
        <w:spacing w:line="300" w:lineRule="auto" w:before="240" w:after="240"/>
        <w:ind w:firstLine="0"/>
        <w:jc w:val="center"/>
      </w:pPr>
      <w:r>
        <w:rPr>
          <w:rFonts w:ascii="Times New Roman" w:hAnsi="Times New Roman" w:eastAsia="黑体"/>
          <w:b/>
          <w:sz w:val="36"/>
        </w:rPr>
        <w:t>说      明</w:t>
      </w:r>
    </w:p>
    <w:p>
      <w:pPr>
        <w:spacing w:line="300" w:lineRule="auto" w:before="120" w:after="120"/>
        <w:ind w:firstLine="0"/>
        <w:jc w:val="left"/>
      </w:pPr>
      <w:r>
        <w:rPr>
          <w:rFonts w:ascii="Times New Roman" w:hAnsi="Times New Roman" w:eastAsia="黑体"/>
          <w:b/>
          <w:sz w:val="30"/>
        </w:rPr>
        <w:t>一、开题报告主要内容</w:t>
      </w:r>
    </w:p>
    <w:p>
      <w:pPr>
        <w:spacing w:line="300" w:lineRule="auto" w:before="80" w:after="80"/>
        <w:ind w:firstLine="0"/>
        <w:jc w:val="left"/>
      </w:pPr>
      <w:r>
        <w:rPr>
          <w:rFonts w:ascii="Times New Roman" w:hAnsi="Times New Roman" w:eastAsia="黑体"/>
          <w:b/>
          <w:sz w:val="28"/>
        </w:rPr>
        <w:t>1．课题来源及研究的目的和意义</w:t>
      </w:r>
    </w:p>
    <w:p>
      <w:pPr>
        <w:spacing w:line="300" w:lineRule="auto" w:before="80" w:after="80"/>
        <w:ind w:firstLine="0"/>
        <w:jc w:val="left"/>
      </w:pPr>
      <w:r>
        <w:rPr>
          <w:rFonts w:ascii="Times New Roman" w:hAnsi="Times New Roman" w:eastAsia="黑体"/>
          <w:b/>
          <w:sz w:val="28"/>
        </w:rPr>
        <w:t>2．国内外在该方向的研究现状及分析</w:t>
      </w:r>
    </w:p>
    <w:p>
      <w:pPr>
        <w:spacing w:line="300" w:lineRule="auto" w:before="80" w:after="80"/>
        <w:ind w:firstLine="0"/>
        <w:jc w:val="left"/>
      </w:pPr>
      <w:r>
        <w:rPr>
          <w:rFonts w:ascii="Times New Roman" w:hAnsi="Times New Roman" w:eastAsia="黑体"/>
          <w:b/>
          <w:sz w:val="28"/>
        </w:rPr>
        <w:t>3．主要研究内容</w:t>
      </w:r>
    </w:p>
    <w:p>
      <w:pPr>
        <w:spacing w:line="300" w:lineRule="auto" w:before="80" w:after="80"/>
        <w:ind w:firstLine="0"/>
        <w:jc w:val="left"/>
      </w:pPr>
      <w:r>
        <w:rPr>
          <w:rFonts w:ascii="Times New Roman" w:hAnsi="Times New Roman" w:eastAsia="黑体"/>
          <w:b/>
          <w:sz w:val="28"/>
        </w:rPr>
        <w:t>4．研究方案</w:t>
      </w:r>
    </w:p>
    <w:p>
      <w:pPr>
        <w:spacing w:line="300" w:lineRule="auto" w:before="80" w:after="80"/>
        <w:ind w:firstLine="0"/>
        <w:jc w:val="left"/>
      </w:pPr>
      <w:r>
        <w:rPr>
          <w:rFonts w:ascii="Times New Roman" w:hAnsi="Times New Roman" w:eastAsia="黑体"/>
          <w:b/>
          <w:sz w:val="28"/>
        </w:rPr>
        <w:t>5．进度安排，预期达到的目标</w:t>
      </w:r>
    </w:p>
    <w:p>
      <w:pPr>
        <w:spacing w:line="300" w:lineRule="auto" w:before="80" w:after="80"/>
        <w:ind w:firstLine="0"/>
        <w:jc w:val="left"/>
      </w:pPr>
      <w:r>
        <w:rPr>
          <w:rFonts w:ascii="Times New Roman" w:hAnsi="Times New Roman" w:eastAsia="黑体"/>
          <w:b/>
          <w:sz w:val="28"/>
        </w:rPr>
        <w:t>6．课题已具备和所需的条件、经费</w:t>
      </w:r>
    </w:p>
    <w:p>
      <w:pPr>
        <w:spacing w:line="300" w:lineRule="auto" w:before="80" w:after="80"/>
        <w:ind w:firstLine="0"/>
        <w:jc w:val="left"/>
      </w:pPr>
      <w:r>
        <w:rPr>
          <w:rFonts w:ascii="Times New Roman" w:hAnsi="Times New Roman" w:eastAsia="黑体"/>
          <w:b/>
          <w:sz w:val="28"/>
        </w:rPr>
        <w:t>7．研究过程中可能遇到的困难和问题，解决的措施</w:t>
      </w:r>
    </w:p>
    <w:p>
      <w:pPr>
        <w:spacing w:line="300" w:lineRule="auto" w:before="80" w:after="80"/>
        <w:ind w:firstLine="0"/>
        <w:jc w:val="left"/>
      </w:pPr>
      <w:r>
        <w:rPr>
          <w:rFonts w:ascii="Times New Roman" w:hAnsi="Times New Roman" w:eastAsia="黑体"/>
          <w:b/>
          <w:sz w:val="28"/>
        </w:rPr>
        <w:t>8．主要参考文献</w:t>
      </w:r>
    </w:p>
    <w:p>
      <w:pPr>
        <w:spacing w:line="300" w:lineRule="auto" w:before="0" w:after="0"/>
        <w:ind w:firstLine="480"/>
        <w:jc w:val="left"/>
      </w:pPr>
      <w:r>
        <w:rPr>
          <w:rFonts w:ascii="Times New Roman" w:hAnsi="Times New Roman" w:eastAsia="宋体"/>
          <w:b w:val="0"/>
          <w:sz w:val="24"/>
        </w:rPr>
        <w:t>（正文  宋体小4号字，行距1.25倍，段前0行，段后0行）</w:t>
      </w:r>
    </w:p>
    <w:p>
      <w:pPr>
        <w:spacing w:line="300" w:lineRule="auto" w:before="120" w:after="120"/>
        <w:ind w:firstLine="0"/>
        <w:jc w:val="left"/>
      </w:pPr>
      <w:r>
        <w:rPr>
          <w:rFonts w:ascii="Times New Roman" w:hAnsi="Times New Roman" w:eastAsia="黑体"/>
          <w:b/>
          <w:sz w:val="30"/>
        </w:rPr>
        <w:t>二、开题报告要求</w:t>
      </w:r>
    </w:p>
    <w:p>
      <w:pPr>
        <w:spacing w:line="300" w:lineRule="auto" w:before="80" w:after="80"/>
        <w:ind w:firstLine="0"/>
        <w:jc w:val="left"/>
      </w:pPr>
      <w:r>
        <w:rPr>
          <w:rFonts w:ascii="Times New Roman" w:hAnsi="Times New Roman" w:eastAsia="黑体"/>
          <w:b w:val="0"/>
          <w:sz w:val="28"/>
        </w:rPr>
        <w:t>1．开题报告的字数应在3000字以上。</w:t>
      </w:r>
    </w:p>
    <w:p>
      <w:pPr>
        <w:spacing w:line="300" w:lineRule="auto" w:before="80" w:after="80"/>
        <w:ind w:firstLine="0"/>
        <w:jc w:val="left"/>
      </w:pPr>
      <w:r>
        <w:rPr>
          <w:rFonts w:ascii="Times New Roman" w:hAnsi="Times New Roman" w:eastAsia="黑体"/>
          <w:b w:val="0"/>
          <w:sz w:val="28"/>
        </w:rPr>
        <w:t>2．参考文献的要求：</w:t>
      </w:r>
    </w:p>
    <w:p>
      <w:pPr>
        <w:spacing w:line="300" w:lineRule="auto" w:before="0" w:after="0"/>
        <w:ind w:firstLine="480"/>
        <w:jc w:val="both"/>
      </w:pPr>
      <w:r>
        <w:rPr>
          <w:rFonts w:ascii="Times New Roman" w:hAnsi="Times New Roman" w:eastAsia="宋体"/>
          <w:b w:val="0"/>
          <w:sz w:val="24"/>
        </w:rPr>
        <w:t>（1）本科综合设计（论文）的参考文献一般不少于15篇，外文文献不少于3篇（特殊专业可酌情确定明确要求），应有近两年的参考文献。产品说明书、未公开发表的研究报告不宜作为参考资料。</w:t>
      </w:r>
    </w:p>
    <w:p>
      <w:pPr>
        <w:spacing w:line="300" w:lineRule="auto" w:before="0" w:after="0"/>
        <w:ind w:firstLine="480"/>
        <w:jc w:val="both"/>
      </w:pPr>
      <w:r>
        <w:rPr>
          <w:rFonts w:ascii="Times New Roman" w:hAnsi="Times New Roman" w:eastAsia="宋体"/>
          <w:b w:val="0"/>
          <w:sz w:val="24"/>
        </w:rPr>
        <w:t>（2）参考文献按在开题报告中出现的次序列出。</w:t>
      </w:r>
    </w:p>
    <w:p>
      <w:pPr>
        <w:spacing w:line="300" w:lineRule="auto" w:before="0" w:after="0"/>
        <w:ind w:firstLine="480"/>
        <w:jc w:val="both"/>
      </w:pPr>
      <w:r>
        <w:rPr>
          <w:rFonts w:ascii="Times New Roman" w:hAnsi="Times New Roman" w:eastAsia="宋体"/>
          <w:b w:val="0"/>
          <w:sz w:val="24"/>
        </w:rPr>
        <w:t>（3）参考文献书写顺序：序号 作者.文章名.学术刊物名.年，卷（期）：引用起止页。</w:t>
      </w:r>
    </w:p>
    <w:p>
      <w:r>
        <w:br w:type="page"/>
      </w:r>
    </w:p>
    <w:p>
      <w:pPr>
        <w:spacing w:line="300" w:lineRule="auto" w:before="120" w:after="120"/>
        <w:ind w:firstLine="0"/>
        <w:jc w:val="left"/>
      </w:pPr>
      <w:r>
        <w:rPr>
          <w:rFonts w:ascii="Times New Roman" w:hAnsi="Times New Roman" w:eastAsia="黑体"/>
          <w:b/>
          <w:sz w:val="30"/>
        </w:rPr>
        <w:t>一、开题报告主要内容</w:t>
      </w:r>
    </w:p>
    <w:p>
      <w:pPr>
        <w:spacing w:line="300" w:lineRule="auto" w:before="80" w:after="80"/>
        <w:ind w:firstLine="0"/>
        <w:jc w:val="left"/>
      </w:pPr>
      <w:r>
        <w:rPr>
          <w:rFonts w:ascii="Times New Roman" w:hAnsi="Times New Roman" w:eastAsia="黑体"/>
          <w:b/>
          <w:sz w:val="28"/>
        </w:rPr>
        <w:t>1．课题来源及研究的目的和意义</w:t>
      </w:r>
    </w:p>
    <w:p>
      <w:pPr>
        <w:spacing w:line="300" w:lineRule="auto" w:before="40" w:after="40"/>
        <w:ind w:firstLine="0"/>
        <w:jc w:val="left"/>
      </w:pPr>
      <w:r>
        <w:rPr>
          <w:rFonts w:ascii="Times New Roman" w:hAnsi="Times New Roman" w:eastAsia="黑体"/>
          <w:b/>
          <w:sz w:val="24"/>
        </w:rPr>
        <w:t>（一）课题来源</w:t>
      </w:r>
    </w:p>
    <w:p>
      <w:pPr>
        <w:spacing w:line="300" w:lineRule="auto" w:before="0" w:after="0"/>
        <w:ind w:firstLine="480"/>
        <w:jc w:val="both"/>
      </w:pPr>
      <w:r>
        <w:rPr>
          <w:rFonts w:ascii="Times New Roman" w:hAnsi="Times New Roman" w:eastAsia="宋体"/>
          <w:b w:val="0"/>
          <w:sz w:val="24"/>
        </w:rPr>
        <w:t>本课题来源于哈尔滨工业大学2026届本科毕业论文《基于CGAN的NGSO星座星地信道建模方法与仿真》[1]结论部分提出的后续研究建议："本文主要采用CGAN进行信道生成建模，后续可在相同数据集和相同评价指标下，引入扩散模型、Transformer生成模型、物理约束神经网络等方法进行对比。"本课题承接该建议，在统一数据集与统一三层评价体系下，引入条件扩散模型并与CGAN基线进行系统对比。</w:t>
      </w:r>
    </w:p>
    <w:p>
      <w:pPr>
        <w:spacing w:line="300" w:lineRule="auto" w:before="40" w:after="40"/>
        <w:ind w:firstLine="0"/>
        <w:jc w:val="left"/>
      </w:pPr>
      <w:r>
        <w:rPr>
          <w:rFonts w:ascii="Times New Roman" w:hAnsi="Times New Roman" w:eastAsia="黑体"/>
          <w:b/>
          <w:sz w:val="24"/>
        </w:rPr>
        <w:t>（二）研究背景</w:t>
      </w:r>
    </w:p>
    <w:p>
      <w:pPr>
        <w:spacing w:line="300" w:lineRule="auto" w:before="0" w:after="0"/>
        <w:ind w:firstLine="480"/>
        <w:jc w:val="both"/>
      </w:pPr>
      <w:r>
        <w:rPr>
          <w:rFonts w:ascii="Times New Roman" w:hAnsi="Times New Roman" w:eastAsia="宋体"/>
          <w:b w:val="0"/>
          <w:sz w:val="24"/>
        </w:rPr>
        <w:t>近年来，以Starlink、OneWeb为代表的非地球静止轨道（NGSO）星座进入大规模部署阶段，星地链路已成为6G空天地一体化网络的关键组成部分。与地面信道相比，星地信道具有传播距离远、多普勒频移大、仰角快速变化、受遮蔽与降雨影响显著等特点，其准确建模是系统设计、算法验证与性能评估的前提。</w:t>
      </w:r>
    </w:p>
    <w:p>
      <w:pPr>
        <w:spacing w:line="300" w:lineRule="auto" w:before="0" w:after="0"/>
        <w:ind w:firstLine="480"/>
        <w:jc w:val="both"/>
      </w:pPr>
      <w:r>
        <w:rPr>
          <w:rFonts w:ascii="Times New Roman" w:hAnsi="Times New Roman" w:eastAsia="宋体"/>
          <w:b w:val="0"/>
          <w:sz w:val="24"/>
        </w:rPr>
        <w:t>传统建模手段存在明显局限。实测统计建模成本高、场景覆盖有限，且参数拟合依赖特定测量campaign，难以迁移；射线追踪等确定性仿真方法计算开销大，难以支撑大规模蒙特卡洛验证所需的批量样本生成。以深度生成模型为代表的数据驱动方法能够从数据中学习信道统计规律，实现低成本、高保真、条件可控的信道样本生成，已成为信道建模的重要发展方向。</w:t>
      </w:r>
    </w:p>
    <w:p>
      <w:pPr>
        <w:spacing w:line="300" w:lineRule="auto" w:before="0" w:after="0"/>
        <w:ind w:firstLine="480"/>
        <w:jc w:val="both"/>
      </w:pPr>
      <w:r>
        <w:rPr>
          <w:rFonts w:ascii="Times New Roman" w:hAnsi="Times New Roman" w:eastAsia="宋体"/>
          <w:b w:val="0"/>
          <w:sz w:val="24"/>
        </w:rPr>
        <w:t>在生成建模范式层面，现有工作以生成对抗网络（GAN）为主。文献[1]将条件GAN（CGAN）引入NGSO星地信道包络生成任务，取得了良好的分布拟合精度；但GAN的对抗训练机制本质上是对"单条件内分布匹配"的隐式约束，其对本课题关注的两类问题——包络序列的时序相关结构与条件之间的统计一致性——均缺乏显式保障。去噪扩散概率模型（DDPM）作为近年兴起的生成范式，训练稳定、样本覆盖度高，其迭代去噪的生成机制与信道时序结构的匹配性尚缺乏受控实验的检验。这正是本课题的出发点。</w:t>
      </w:r>
    </w:p>
    <w:p>
      <w:pPr>
        <w:spacing w:line="300" w:lineRule="auto" w:before="40" w:after="40"/>
        <w:ind w:firstLine="0"/>
        <w:jc w:val="left"/>
      </w:pPr>
      <w:r>
        <w:rPr>
          <w:rFonts w:ascii="Times New Roman" w:hAnsi="Times New Roman" w:eastAsia="黑体"/>
          <w:b/>
          <w:sz w:val="24"/>
        </w:rPr>
        <w:t>（三）研究目的与理论意义</w:t>
      </w:r>
    </w:p>
    <w:p>
      <w:pPr>
        <w:spacing w:line="300" w:lineRule="auto" w:before="0" w:after="0"/>
        <w:ind w:firstLine="480"/>
        <w:jc w:val="both"/>
      </w:pPr>
      <w:r>
        <w:rPr>
          <w:rFonts w:ascii="Times New Roman" w:hAnsi="Times New Roman" w:eastAsia="宋体"/>
          <w:b w:val="0"/>
          <w:sz w:val="24"/>
        </w:rPr>
        <w:t>本课题的核心研究问题是：在一维时序包络建模任务上，迭代去噪式生成（扩散模型）相对对抗式生成（CGAN），能否在保持分布拟合精度的同时显著改善时序特性保持与条件间一致性？</w:t>
      </w:r>
    </w:p>
    <w:p>
      <w:pPr>
        <w:spacing w:line="300" w:lineRule="auto" w:before="0" w:after="0"/>
        <w:ind w:firstLine="480"/>
        <w:jc w:val="both"/>
      </w:pPr>
      <w:r>
        <w:rPr>
          <w:rFonts w:ascii="Times New Roman" w:hAnsi="Times New Roman" w:eastAsia="宋体"/>
          <w:b w:val="0"/>
          <w:sz w:val="24"/>
        </w:rPr>
        <w:t>本课题的理论意义在于：现有CGAN信道生成研究[1]存在三方面不足——其一，时序特性建模能力偏弱，对抗式单步映射难以刻画包络序列的时间相关结构；其二，GAN训练依赖WGAN-GP、TTUR、EMA等多重技巧抑制不稳定，且其损失仅逐条件约束分布匹配，对条件间统计规律的一致性缺乏保障；其三，该任务上仅有GAN单一生成范式的结果，缺乏与新兴生成范式的受控对比。本课题在统一数据集与统一三层评价体系下引入条件扩散模型，系统对比两类生成范式的分布拟合与时序保持能力，为"扩散模型是否更适合时序相关信道结构建模"这一假设提供受控条件下的量化检验。</w:t>
      </w:r>
    </w:p>
    <w:p>
      <w:pPr>
        <w:spacing w:line="300" w:lineRule="auto" w:before="40" w:after="40"/>
        <w:ind w:firstLine="0"/>
        <w:jc w:val="left"/>
      </w:pPr>
      <w:r>
        <w:rPr>
          <w:rFonts w:ascii="Times New Roman" w:hAnsi="Times New Roman" w:eastAsia="黑体"/>
          <w:b/>
          <w:sz w:val="24"/>
        </w:rPr>
        <w:t>（四）实际意义</w:t>
      </w:r>
    </w:p>
    <w:p>
      <w:pPr>
        <w:spacing w:line="300" w:lineRule="auto" w:before="0" w:after="0"/>
        <w:ind w:firstLine="480"/>
        <w:jc w:val="both"/>
      </w:pPr>
      <w:r>
        <w:rPr>
          <w:rFonts w:ascii="Times New Roman" w:hAnsi="Times New Roman" w:eastAsia="宋体"/>
          <w:b w:val="0"/>
          <w:sz w:val="24"/>
        </w:rPr>
        <w:t>本课题的实际意义在于：其一，为NGSO星地链路提供低成本、高保真、条件可控的信道包络样本生成工具，可直接支撑NTN系统设计、算法验证与性能评估；其二，产出冻结的三层评价指标库与公平对比方法论，为后续NTN信道生成建模研究提供可复用的评测基准；其三，系统测定扩散模型采样步数与生成质量、采样耗时的折中关系，为生成模型在信道仿真中的工程部署提供选型依据。</w:t>
      </w:r>
    </w:p>
    <w:p>
      <w:pPr>
        <w:spacing w:line="300" w:lineRule="auto" w:before="80" w:after="80"/>
        <w:ind w:firstLine="0"/>
        <w:jc w:val="left"/>
      </w:pPr>
      <w:r>
        <w:rPr>
          <w:rFonts w:ascii="Times New Roman" w:hAnsi="Times New Roman" w:eastAsia="黑体"/>
          <w:b/>
          <w:sz w:val="28"/>
        </w:rPr>
        <w:t>2．国内外在该方向的研究现状及分析</w:t>
      </w:r>
    </w:p>
    <w:p>
      <w:pPr>
        <w:spacing w:line="300" w:lineRule="auto" w:before="40" w:after="40"/>
        <w:ind w:firstLine="0"/>
        <w:jc w:val="left"/>
      </w:pPr>
      <w:r>
        <w:rPr>
          <w:rFonts w:ascii="Times New Roman" w:hAnsi="Times New Roman" w:eastAsia="黑体"/>
          <w:b/>
          <w:sz w:val="24"/>
        </w:rPr>
        <w:t>（一）星地信道统计建模研究现状</w:t>
      </w:r>
    </w:p>
    <w:p>
      <w:pPr>
        <w:spacing w:line="300" w:lineRule="auto" w:before="0" w:after="0"/>
        <w:ind w:firstLine="480"/>
        <w:jc w:val="both"/>
      </w:pPr>
      <w:r>
        <w:rPr>
          <w:rFonts w:ascii="Times New Roman" w:hAnsi="Times New Roman" w:eastAsia="宋体"/>
          <w:b w:val="0"/>
          <w:sz w:val="24"/>
        </w:rPr>
        <w:t>陆地移动卫星（LMS）信道统计建模已有四十年积累，其主流框架是复合衰落模型：将快衰落与慢衰落（阴影）级联建模。</w:t>
      </w:r>
    </w:p>
    <w:p>
      <w:pPr>
        <w:spacing w:line="300" w:lineRule="auto" w:before="0" w:after="0"/>
        <w:ind w:firstLine="480"/>
        <w:jc w:val="both"/>
      </w:pPr>
      <w:r>
        <w:rPr>
          <w:rFonts w:ascii="Times New Roman" w:hAnsi="Times New Roman" w:eastAsia="宋体"/>
          <w:b w:val="0"/>
          <w:sz w:val="24"/>
        </w:rPr>
        <w:t>Loo于1985年提出经典Loo模型[2]，将接收复信号建模为受对数正态阴影调制的直射分量与瑞利多径分量之和，包络条件分布为Rice分布、无条件分布需对阴影变量积分。Lutz等[3]提出两状态马尔可夫模型，以"好/坏"状态切换刻画遮蔽与非遮蔽的交替，状态驻留时间服从一阶马尔可夫链。</w:t>
      </w:r>
    </w:p>
    <w:p>
      <w:pPr>
        <w:spacing w:line="300" w:lineRule="auto" w:before="0" w:after="0"/>
        <w:ind w:firstLine="480"/>
        <w:jc w:val="both"/>
      </w:pPr>
      <w:r>
        <w:rPr>
          <w:rFonts w:ascii="Times New Roman" w:hAnsi="Times New Roman" w:eastAsia="宋体"/>
          <w:b w:val="0"/>
          <w:sz w:val="24"/>
        </w:rPr>
        <w:t>Corazza与Vatalaro[4]将阴影同时作用于直射与多径分量，并将参数化为仰角α的函数，使模型可直接推广至NGSO场景，成为NGSO星地信道建模中应用最广的统计模型。其包络r的PDF为Rice分布对对数正态阴影的混合：</w:t>
      </w:r>
    </w:p>
    <w:p>
      <w:pPr>
        <w:spacing w:line="240" w:lineRule="auto" w:before="80" w:after="80"/>
        <w:ind w:firstLine="0"/>
        <w:jc w:val="center"/>
      </w:pPr>
      <w:r>
        <w:drawing>
          <wp:inline xmlns:a="http://schemas.openxmlformats.org/drawingml/2006/main" xmlns:pic="http://schemas.openxmlformats.org/drawingml/2006/picture">
            <wp:extent cx="3960000" cy="457246"/>
            <wp:docPr id="1" name="Picture 1"/>
            <wp:cNvGraphicFramePr>
              <a:graphicFrameLocks noChangeAspect="1"/>
            </wp:cNvGraphicFramePr>
            <a:graphic>
              <a:graphicData uri="http://schemas.openxmlformats.org/drawingml/2006/picture">
                <pic:pic>
                  <pic:nvPicPr>
                    <pic:cNvPr id="0" name="eq_1.png"/>
                    <pic:cNvPicPr/>
                  </pic:nvPicPr>
                  <pic:blipFill>
                    <a:blip r:embed="rId9"/>
                    <a:stretch>
                      <a:fillRect/>
                    </a:stretch>
                  </pic:blipFill>
                  <pic:spPr>
                    <a:xfrm>
                      <a:off x="0" y="0"/>
                      <a:ext cx="3960000" cy="457246"/>
                    </a:xfrm>
                    <a:prstGeom prst="rect"/>
                  </pic:spPr>
                </pic:pic>
              </a:graphicData>
            </a:graphic>
          </wp:inline>
        </w:drawing>
      </w:r>
    </w:p>
    <w:p>
      <w:pPr>
        <w:spacing w:line="300" w:lineRule="auto" w:before="0" w:after="0"/>
        <w:ind w:firstLine="480"/>
        <w:jc w:val="both"/>
      </w:pPr>
      <w:r>
        <w:rPr>
          <w:rFonts w:ascii="Times New Roman" w:hAnsi="Times New Roman" w:eastAsia="宋体"/>
          <w:b w:val="0"/>
          <w:sz w:val="24"/>
        </w:rPr>
        <w:t>其中I0(·)为零阶第一类Bessel函数，直射分量与多径分量共同受阴影因子S调制。莱斯因子K与阴影参数均依赖仰角：</w:t>
      </w:r>
    </w:p>
    <w:p>
      <w:pPr>
        <w:spacing w:line="240" w:lineRule="auto" w:before="80" w:after="80"/>
        <w:ind w:firstLine="0"/>
        <w:jc w:val="center"/>
      </w:pPr>
      <w:r>
        <w:drawing>
          <wp:inline xmlns:a="http://schemas.openxmlformats.org/drawingml/2006/main" xmlns:pic="http://schemas.openxmlformats.org/drawingml/2006/picture">
            <wp:extent cx="3600000" cy="350847"/>
            <wp:docPr id="2" name="Picture 2"/>
            <wp:cNvGraphicFramePr>
              <a:graphicFrameLocks noChangeAspect="1"/>
            </wp:cNvGraphicFramePr>
            <a:graphic>
              <a:graphicData uri="http://schemas.openxmlformats.org/drawingml/2006/picture">
                <pic:pic>
                  <pic:nvPicPr>
                    <pic:cNvPr id="0" name="eq_2.png"/>
                    <pic:cNvPicPr/>
                  </pic:nvPicPr>
                  <pic:blipFill>
                    <a:blip r:embed="rId10"/>
                    <a:stretch>
                      <a:fillRect/>
                    </a:stretch>
                  </pic:blipFill>
                  <pic:spPr>
                    <a:xfrm>
                      <a:off x="0" y="0"/>
                      <a:ext cx="3600000" cy="350847"/>
                    </a:xfrm>
                    <a:prstGeom prst="rect"/>
                  </pic:spPr>
                </pic:pic>
              </a:graphicData>
            </a:graphic>
          </wp:inline>
        </w:drawing>
      </w:r>
    </w:p>
    <w:p>
      <w:pPr>
        <w:spacing w:line="240" w:lineRule="auto" w:before="80" w:after="80"/>
        <w:ind w:firstLine="0"/>
        <w:jc w:val="center"/>
      </w:pPr>
      <w:r>
        <w:drawing>
          <wp:inline xmlns:a="http://schemas.openxmlformats.org/drawingml/2006/main" xmlns:pic="http://schemas.openxmlformats.org/drawingml/2006/picture">
            <wp:extent cx="4680000" cy="756038"/>
            <wp:docPr id="3" name="Picture 3"/>
            <wp:cNvGraphicFramePr>
              <a:graphicFrameLocks noChangeAspect="1"/>
            </wp:cNvGraphicFramePr>
            <a:graphic>
              <a:graphicData uri="http://schemas.openxmlformats.org/drawingml/2006/picture">
                <pic:pic>
                  <pic:nvPicPr>
                    <pic:cNvPr id="0" name="eq_3-5.png"/>
                    <pic:cNvPicPr/>
                  </pic:nvPicPr>
                  <pic:blipFill>
                    <a:blip r:embed="rId11"/>
                    <a:stretch>
                      <a:fillRect/>
                    </a:stretch>
                  </pic:blipFill>
                  <pic:spPr>
                    <a:xfrm>
                      <a:off x="0" y="0"/>
                      <a:ext cx="4680000" cy="756038"/>
                    </a:xfrm>
                    <a:prstGeom prst="rect"/>
                  </pic:spPr>
                </pic:pic>
              </a:graphicData>
            </a:graphic>
          </wp:inline>
        </w:drawing>
      </w:r>
    </w:p>
    <w:p>
      <w:pPr>
        <w:spacing w:line="300" w:lineRule="auto" w:before="0" w:after="0"/>
        <w:ind w:firstLine="480"/>
        <w:jc w:val="both"/>
      </w:pPr>
      <w:r>
        <w:rPr>
          <w:rFonts w:ascii="Times New Roman" w:hAnsi="Times New Roman" w:eastAsia="宋体"/>
          <w:b w:val="0"/>
          <w:sz w:val="24"/>
        </w:rPr>
        <w:t>其中K为线性莱斯因子，μ以奈培（nepers）计，σ为20lg S的标准差（dB）。低仰角时K小、σ大，衰落深且分布宽；高仰角时直射分量增强，包络分布收窄并趋于Rice分布。本课题即以该模型作为参考数据生成模型。</w:t>
      </w:r>
    </w:p>
    <w:p>
      <w:pPr>
        <w:spacing w:line="300" w:lineRule="auto" w:before="0" w:after="0"/>
        <w:ind w:firstLine="480"/>
        <w:jc w:val="both"/>
      </w:pPr>
      <w:r>
        <w:rPr>
          <w:rFonts w:ascii="Times New Roman" w:hAnsi="Times New Roman" w:eastAsia="宋体"/>
          <w:b w:val="0"/>
          <w:sz w:val="24"/>
        </w:rPr>
        <w:t>Fontán等[5]基于广泛测量提出了LMS信道三态统计模型（好/中等/坏），以多状态拟合不同遮蔽环境；Abdi等[6]给出了LMS信道一阶、二阶统计量的闭式表达。标准化方面，3GPP TR 38.811[7]定义了5G非地面网络（NTN）信道模型框架，ITU-R P.618[8]给出了地空传播预测方法，Baeza等[9]综述了NGSO信道模型的最新进展。</w:t>
      </w:r>
    </w:p>
    <w:p>
      <w:pPr>
        <w:spacing w:line="300" w:lineRule="auto" w:before="0" w:after="0"/>
        <w:ind w:firstLine="480"/>
        <w:jc w:val="both"/>
      </w:pPr>
      <w:r>
        <w:rPr>
          <w:rFonts w:ascii="Times New Roman" w:hAnsi="Times New Roman" w:eastAsia="宋体"/>
          <w:b w:val="0"/>
          <w:sz w:val="24"/>
        </w:rPr>
        <w:t>总体而言，统计模型物理意义明确、计算高效，但参数依赖测量拟合、场景泛化能力有限，难以直接支撑"按需生成任意仰角条件下包络序列"的任务——其采样过程只能复现模型自身假设的分布形式，无法从更丰富的数据中学习复杂统计规律。</w:t>
      </w:r>
    </w:p>
    <w:p>
      <w:pPr>
        <w:spacing w:line="300" w:lineRule="auto" w:before="40" w:after="40"/>
        <w:ind w:firstLine="0"/>
        <w:jc w:val="left"/>
      </w:pPr>
      <w:r>
        <w:rPr>
          <w:rFonts w:ascii="Times New Roman" w:hAnsi="Times New Roman" w:eastAsia="黑体"/>
          <w:b/>
          <w:sz w:val="24"/>
        </w:rPr>
        <w:t>（二）基于深度生成模型的信道建模研究现状</w:t>
      </w:r>
    </w:p>
    <w:p>
      <w:pPr>
        <w:spacing w:line="300" w:lineRule="auto" w:before="0" w:after="0"/>
        <w:ind w:firstLine="480"/>
        <w:jc w:val="both"/>
      </w:pPr>
      <w:r>
        <w:rPr>
          <w:rFonts w:ascii="Times New Roman" w:hAnsi="Times New Roman" w:eastAsia="宋体"/>
          <w:b w:val="0"/>
          <w:sz w:val="24"/>
        </w:rPr>
        <w:t>自Goodfellow等[10]提出生成对抗网络以来，其在无线信道建模中的应用迅速展开。GAN的优化目标为极小极大博弈：</w:t>
      </w:r>
    </w:p>
    <w:p>
      <w:pPr>
        <w:spacing w:line="240" w:lineRule="auto" w:before="80" w:after="80"/>
        <w:ind w:firstLine="0"/>
        <w:jc w:val="center"/>
      </w:pPr>
      <w:r>
        <w:drawing>
          <wp:inline xmlns:a="http://schemas.openxmlformats.org/drawingml/2006/main" xmlns:pic="http://schemas.openxmlformats.org/drawingml/2006/picture">
            <wp:extent cx="3960000" cy="281059"/>
            <wp:docPr id="4" name="Picture 4"/>
            <wp:cNvGraphicFramePr>
              <a:graphicFrameLocks noChangeAspect="1"/>
            </wp:cNvGraphicFramePr>
            <a:graphic>
              <a:graphicData uri="http://schemas.openxmlformats.org/drawingml/2006/picture">
                <pic:pic>
                  <pic:nvPicPr>
                    <pic:cNvPr id="0" name="eq_6.png"/>
                    <pic:cNvPicPr/>
                  </pic:nvPicPr>
                  <pic:blipFill>
                    <a:blip r:embed="rId12"/>
                    <a:stretch>
                      <a:fillRect/>
                    </a:stretch>
                  </pic:blipFill>
                  <pic:spPr>
                    <a:xfrm>
                      <a:off x="0" y="0"/>
                      <a:ext cx="3960000" cy="281059"/>
                    </a:xfrm>
                    <a:prstGeom prst="rect"/>
                  </pic:spPr>
                </pic:pic>
              </a:graphicData>
            </a:graphic>
          </wp:inline>
        </w:drawing>
      </w:r>
    </w:p>
    <w:p>
      <w:pPr>
        <w:spacing w:line="300" w:lineRule="auto" w:before="0" w:after="0"/>
        <w:ind w:firstLine="480"/>
        <w:jc w:val="both"/>
      </w:pPr>
      <w:r>
        <w:rPr>
          <w:rFonts w:ascii="Times New Roman" w:hAnsi="Times New Roman" w:eastAsia="宋体"/>
          <w:b w:val="0"/>
          <w:sz w:val="24"/>
        </w:rPr>
        <w:t>其中D为判别器、G为以噪声z为输入的生成器。条件GAN（cGAN）通过向G与D注入条件信息c（本任务中为仰角α）实现条件可控生成。</w:t>
      </w:r>
    </w:p>
    <w:p>
      <w:pPr>
        <w:spacing w:line="300" w:lineRule="auto" w:before="0" w:after="0"/>
        <w:ind w:firstLine="480"/>
        <w:jc w:val="both"/>
      </w:pPr>
      <w:r>
        <w:rPr>
          <w:rFonts w:ascii="Times New Roman" w:hAnsi="Times New Roman" w:eastAsia="宋体"/>
          <w:b w:val="0"/>
          <w:sz w:val="24"/>
        </w:rPr>
        <w:t>针对原始GAN训练不稳定、梯度消失的问题，Arjovsky等提出Wasserstein GAN，以Wasserstein距离替代JS散度作为优化目标；Gulrajani等[14]进一步提出带梯度惩罚的WGAN-GP：</w:t>
      </w:r>
    </w:p>
    <w:p>
      <w:pPr>
        <w:spacing w:line="240" w:lineRule="auto" w:before="80" w:after="80"/>
        <w:ind w:firstLine="0"/>
        <w:jc w:val="center"/>
      </w:pPr>
      <w:r>
        <w:drawing>
          <wp:inline xmlns:a="http://schemas.openxmlformats.org/drawingml/2006/main" xmlns:pic="http://schemas.openxmlformats.org/drawingml/2006/picture">
            <wp:extent cx="4680000" cy="592436"/>
            <wp:docPr id="5" name="Picture 5"/>
            <wp:cNvGraphicFramePr>
              <a:graphicFrameLocks noChangeAspect="1"/>
            </wp:cNvGraphicFramePr>
            <a:graphic>
              <a:graphicData uri="http://schemas.openxmlformats.org/drawingml/2006/picture">
                <pic:pic>
                  <pic:nvPicPr>
                    <pic:cNvPr id="0" name="eq_7.png"/>
                    <pic:cNvPicPr/>
                  </pic:nvPicPr>
                  <pic:blipFill>
                    <a:blip r:embed="rId13"/>
                    <a:stretch>
                      <a:fillRect/>
                    </a:stretch>
                  </pic:blipFill>
                  <pic:spPr>
                    <a:xfrm>
                      <a:off x="0" y="0"/>
                      <a:ext cx="4680000" cy="592436"/>
                    </a:xfrm>
                    <a:prstGeom prst="rect"/>
                  </pic:spPr>
                </pic:pic>
              </a:graphicData>
            </a:graphic>
          </wp:inline>
        </w:drawing>
      </w:r>
    </w:p>
    <w:p>
      <w:pPr>
        <w:spacing w:line="300" w:lineRule="auto" w:before="0" w:after="0"/>
        <w:ind w:firstLine="480"/>
        <w:jc w:val="both"/>
      </w:pPr>
      <w:r>
        <w:rPr>
          <w:rFonts w:ascii="Times New Roman" w:hAnsi="Times New Roman" w:eastAsia="宋体"/>
          <w:b w:val="0"/>
          <w:sz w:val="24"/>
        </w:rPr>
        <w:t>其中x̂为真实样本与生成样本的随机插值。WGAN-GP配合双时间尺度学习率（TTUR）、指数滑动平均（EMA）等技巧，成为信道生成任务的主流训练框架。</w:t>
      </w:r>
    </w:p>
    <w:p>
      <w:pPr>
        <w:spacing w:line="300" w:lineRule="auto" w:before="0" w:after="0"/>
        <w:ind w:firstLine="480"/>
        <w:jc w:val="both"/>
      </w:pPr>
      <w:r>
        <w:rPr>
          <w:rFonts w:ascii="Times New Roman" w:hAnsi="Times New Roman" w:eastAsia="宋体"/>
          <w:b w:val="0"/>
          <w:sz w:val="24"/>
        </w:rPr>
        <w:t>Xiao等[11]提出ChannelGAN，利用Wasserstein GAN生成MIMO信道矩阵；国内方面，程芳芳[12]研究了基于GAN的无线信道建模方法，乔艳丽[13]实现了低轨卫星移动信道建模与仿真。陈万埼[1]将CGAN引入NGSO星地信道包络生成任务：以仰角为条件，采用WGAN-GP、TTUR与EMA等训练技巧，在Corazza数据上取得了KS统计量全部小于0.07的分布拟合精度，仰角-包络均值Spearman相关系数达0.9980；但其时序指标明显偏弱（LCR相对RMSE达0.58~0.88），且GAN类方法固有的模式崩溃与训练不稳问题仍需多重技巧抑制。</w:t>
      </w:r>
    </w:p>
    <w:p>
      <w:pPr>
        <w:spacing w:line="300" w:lineRule="auto" w:before="40" w:after="40"/>
        <w:ind w:firstLine="0"/>
        <w:jc w:val="left"/>
      </w:pPr>
      <w:r>
        <w:rPr>
          <w:rFonts w:ascii="Times New Roman" w:hAnsi="Times New Roman" w:eastAsia="黑体"/>
          <w:b/>
          <w:sz w:val="24"/>
        </w:rPr>
        <w:t>（三）扩散模型研究现状</w:t>
      </w:r>
    </w:p>
    <w:p>
      <w:pPr>
        <w:spacing w:line="300" w:lineRule="auto" w:before="0" w:after="0"/>
        <w:ind w:firstLine="480"/>
        <w:jc w:val="both"/>
      </w:pPr>
      <w:r>
        <w:rPr>
          <w:rFonts w:ascii="Times New Roman" w:hAnsi="Times New Roman" w:eastAsia="宋体"/>
          <w:b w:val="0"/>
          <w:sz w:val="24"/>
        </w:rPr>
        <w:t>Ho等[15]提出去噪扩散概率模型（DDPM），将生成过程建模为两阶段：前向过程对数据逐步添加高斯噪声，T步后数据退化为标准高斯；反向过程训练神经网络逐步去噪，从纯噪声还原数据分布。前向过程定义为马尔可夫链</w:t>
      </w:r>
    </w:p>
    <w:p>
      <w:pPr>
        <w:spacing w:line="240" w:lineRule="auto" w:before="80" w:after="80"/>
        <w:ind w:firstLine="0"/>
        <w:jc w:val="center"/>
      </w:pPr>
      <w:r>
        <w:drawing>
          <wp:inline xmlns:a="http://schemas.openxmlformats.org/drawingml/2006/main" xmlns:pic="http://schemas.openxmlformats.org/drawingml/2006/picture">
            <wp:extent cx="3960000" cy="325106"/>
            <wp:docPr id="6" name="Picture 6"/>
            <wp:cNvGraphicFramePr>
              <a:graphicFrameLocks noChangeAspect="1"/>
            </wp:cNvGraphicFramePr>
            <a:graphic>
              <a:graphicData uri="http://schemas.openxmlformats.org/drawingml/2006/picture">
                <pic:pic>
                  <pic:nvPicPr>
                    <pic:cNvPr id="0" name="eq_8.png"/>
                    <pic:cNvPicPr/>
                  </pic:nvPicPr>
                  <pic:blipFill>
                    <a:blip r:embed="rId14"/>
                    <a:stretch>
                      <a:fillRect/>
                    </a:stretch>
                  </pic:blipFill>
                  <pic:spPr>
                    <a:xfrm>
                      <a:off x="0" y="0"/>
                      <a:ext cx="3960000" cy="325106"/>
                    </a:xfrm>
                    <a:prstGeom prst="rect"/>
                  </pic:spPr>
                </pic:pic>
              </a:graphicData>
            </a:graphic>
          </wp:inline>
        </w:drawing>
      </w:r>
    </w:p>
    <w:p>
      <w:pPr>
        <w:spacing w:line="300" w:lineRule="auto" w:before="0" w:after="0"/>
        <w:ind w:firstLine="480"/>
        <w:jc w:val="both"/>
      </w:pPr>
      <w:r>
        <w:rPr>
          <w:rFonts w:ascii="Times New Roman" w:hAnsi="Times New Roman" w:eastAsia="宋体"/>
          <w:b w:val="0"/>
          <w:sz w:val="24"/>
        </w:rPr>
        <w:t>其中噪声schedule {βt}单调递增。利用重参数化可得任意时刻的闭式采样：</w:t>
      </w:r>
    </w:p>
    <w:p>
      <w:pPr>
        <w:spacing w:line="240" w:lineRule="auto" w:before="80" w:after="80"/>
        <w:ind w:firstLine="0"/>
        <w:jc w:val="center"/>
      </w:pPr>
      <w:r>
        <w:drawing>
          <wp:inline xmlns:a="http://schemas.openxmlformats.org/drawingml/2006/main" xmlns:pic="http://schemas.openxmlformats.org/drawingml/2006/picture">
            <wp:extent cx="3600000" cy="320339"/>
            <wp:docPr id="7" name="Picture 7"/>
            <wp:cNvGraphicFramePr>
              <a:graphicFrameLocks noChangeAspect="1"/>
            </wp:cNvGraphicFramePr>
            <a:graphic>
              <a:graphicData uri="http://schemas.openxmlformats.org/drawingml/2006/picture">
                <pic:pic>
                  <pic:nvPicPr>
                    <pic:cNvPr id="0" name="eq_9.png"/>
                    <pic:cNvPicPr/>
                  </pic:nvPicPr>
                  <pic:blipFill>
                    <a:blip r:embed="rId15"/>
                    <a:stretch>
                      <a:fillRect/>
                    </a:stretch>
                  </pic:blipFill>
                  <pic:spPr>
                    <a:xfrm>
                      <a:off x="0" y="0"/>
                      <a:ext cx="3600000" cy="320339"/>
                    </a:xfrm>
                    <a:prstGeom prst="rect"/>
                  </pic:spPr>
                </pic:pic>
              </a:graphicData>
            </a:graphic>
          </wp:inline>
        </w:drawing>
      </w:r>
    </w:p>
    <w:p>
      <w:pPr>
        <w:spacing w:line="300" w:lineRule="auto" w:before="0" w:after="0"/>
        <w:ind w:firstLine="480"/>
        <w:jc w:val="both"/>
      </w:pPr>
      <w:r>
        <w:rPr>
          <w:rFonts w:ascii="Times New Roman" w:hAnsi="Times New Roman" w:eastAsia="宋体"/>
          <w:b w:val="0"/>
          <w:sz w:val="24"/>
        </w:rPr>
        <w:t>反向过程以ε预测网络εθ参数化，训练目标由变分下界（ELBO）化简为简洁的加权MSE：</w:t>
      </w:r>
    </w:p>
    <w:p>
      <w:pPr>
        <w:spacing w:line="240" w:lineRule="auto" w:before="80" w:after="80"/>
        <w:ind w:firstLine="0"/>
        <w:jc w:val="center"/>
      </w:pPr>
      <w:r>
        <w:drawing>
          <wp:inline xmlns:a="http://schemas.openxmlformats.org/drawingml/2006/main" xmlns:pic="http://schemas.openxmlformats.org/drawingml/2006/picture">
            <wp:extent cx="4320000" cy="336356"/>
            <wp:docPr id="8" name="Picture 8"/>
            <wp:cNvGraphicFramePr>
              <a:graphicFrameLocks noChangeAspect="1"/>
            </wp:cNvGraphicFramePr>
            <a:graphic>
              <a:graphicData uri="http://schemas.openxmlformats.org/drawingml/2006/picture">
                <pic:pic>
                  <pic:nvPicPr>
                    <pic:cNvPr id="0" name="eq_10.png"/>
                    <pic:cNvPicPr/>
                  </pic:nvPicPr>
                  <pic:blipFill>
                    <a:blip r:embed="rId16"/>
                    <a:stretch>
                      <a:fillRect/>
                    </a:stretch>
                  </pic:blipFill>
                  <pic:spPr>
                    <a:xfrm>
                      <a:off x="0" y="0"/>
                      <a:ext cx="4320000" cy="336356"/>
                    </a:xfrm>
                    <a:prstGeom prst="rect"/>
                  </pic:spPr>
                </pic:pic>
              </a:graphicData>
            </a:graphic>
          </wp:inline>
        </w:drawing>
      </w:r>
    </w:p>
    <w:p>
      <w:pPr>
        <w:spacing w:line="300" w:lineRule="auto" w:before="0" w:after="0"/>
        <w:ind w:firstLine="480"/>
        <w:jc w:val="both"/>
      </w:pPr>
      <w:r>
        <w:rPr>
          <w:rFonts w:ascii="Times New Roman" w:hAnsi="Times New Roman" w:eastAsia="宋体"/>
          <w:b w:val="0"/>
          <w:sz w:val="24"/>
        </w:rPr>
        <w:t>其中t~U{1,…,T}，ε~N(0,I)，c为条件（仰角）。相比式(6)的极小极大博弈，该目标为普通回归损失，训练无对抗博弈、天然稳定。</w:t>
      </w:r>
    </w:p>
    <w:p>
      <w:pPr>
        <w:spacing w:line="300" w:lineRule="auto" w:before="0" w:after="0"/>
        <w:ind w:firstLine="480"/>
        <w:jc w:val="both"/>
      </w:pPr>
      <w:r>
        <w:rPr>
          <w:rFonts w:ascii="Times New Roman" w:hAnsi="Times New Roman" w:eastAsia="宋体"/>
          <w:b w:val="0"/>
          <w:sz w:val="24"/>
        </w:rPr>
        <w:t>祖先采样（ancestral sampling）反向一步为</w:t>
      </w:r>
    </w:p>
    <w:p>
      <w:pPr>
        <w:spacing w:line="240" w:lineRule="auto" w:before="80" w:after="80"/>
        <w:ind w:firstLine="0"/>
        <w:jc w:val="center"/>
      </w:pPr>
      <w:r>
        <w:drawing>
          <wp:inline xmlns:a="http://schemas.openxmlformats.org/drawingml/2006/main" xmlns:pic="http://schemas.openxmlformats.org/drawingml/2006/picture">
            <wp:extent cx="3960000" cy="281059"/>
            <wp:docPr id="9" name="Picture 9"/>
            <wp:cNvGraphicFramePr>
              <a:graphicFrameLocks noChangeAspect="1"/>
            </wp:cNvGraphicFramePr>
            <a:graphic>
              <a:graphicData uri="http://schemas.openxmlformats.org/drawingml/2006/picture">
                <pic:pic>
                  <pic:nvPicPr>
                    <pic:cNvPr id="0" name="eq_11.png"/>
                    <pic:cNvPicPr/>
                  </pic:nvPicPr>
                  <pic:blipFill>
                    <a:blip r:embed="rId17"/>
                    <a:stretch>
                      <a:fillRect/>
                    </a:stretch>
                  </pic:blipFill>
                  <pic:spPr>
                    <a:xfrm>
                      <a:off x="0" y="0"/>
                      <a:ext cx="3960000" cy="281059"/>
                    </a:xfrm>
                    <a:prstGeom prst="rect"/>
                  </pic:spPr>
                </pic:pic>
              </a:graphicData>
            </a:graphic>
          </wp:inline>
        </w:drawing>
      </w:r>
    </w:p>
    <w:p>
      <w:pPr>
        <w:spacing w:line="300" w:lineRule="auto" w:before="0" w:after="0"/>
        <w:ind w:firstLine="480"/>
        <w:jc w:val="both"/>
      </w:pPr>
      <w:r>
        <w:rPr>
          <w:rFonts w:ascii="Times New Roman" w:hAnsi="Times New Roman" w:eastAsia="宋体"/>
          <w:b w:val="0"/>
          <w:sz w:val="24"/>
        </w:rPr>
        <w:t>但其需要T步（通常T=1000）迭代，采样成本高。Song等[16]提出去噪扩散隐式模型（DDIM），将反向过程重新参数化为非马尔可夫形式：</w:t>
      </w:r>
    </w:p>
    <w:p>
      <w:pPr>
        <w:spacing w:line="240" w:lineRule="auto" w:before="80" w:after="80"/>
        <w:ind w:firstLine="0"/>
        <w:jc w:val="center"/>
      </w:pPr>
      <w:r>
        <w:drawing>
          <wp:inline xmlns:a="http://schemas.openxmlformats.org/drawingml/2006/main" xmlns:pic="http://schemas.openxmlformats.org/drawingml/2006/picture">
            <wp:extent cx="3960000" cy="281059"/>
            <wp:docPr id="10" name="Picture 10"/>
            <wp:cNvGraphicFramePr>
              <a:graphicFrameLocks noChangeAspect="1"/>
            </wp:cNvGraphicFramePr>
            <a:graphic>
              <a:graphicData uri="http://schemas.openxmlformats.org/drawingml/2006/picture">
                <pic:pic>
                  <pic:nvPicPr>
                    <pic:cNvPr id="0" name="eq_12.png"/>
                    <pic:cNvPicPr/>
                  </pic:nvPicPr>
                  <pic:blipFill>
                    <a:blip r:embed="rId18"/>
                    <a:stretch>
                      <a:fillRect/>
                    </a:stretch>
                  </pic:blipFill>
                  <pic:spPr>
                    <a:xfrm>
                      <a:off x="0" y="0"/>
                      <a:ext cx="3960000" cy="281059"/>
                    </a:xfrm>
                    <a:prstGeom prst="rect"/>
                  </pic:spPr>
                </pic:pic>
              </a:graphicData>
            </a:graphic>
          </wp:inline>
        </w:drawing>
      </w:r>
    </w:p>
    <w:p>
      <w:pPr>
        <w:spacing w:line="300" w:lineRule="auto" w:before="0" w:after="0"/>
        <w:ind w:firstLine="480"/>
        <w:jc w:val="both"/>
      </w:pPr>
      <w:r>
        <w:rPr>
          <w:rFonts w:ascii="Times New Roman" w:hAnsi="Times New Roman" w:eastAsia="宋体"/>
          <w:b w:val="0"/>
          <w:sz w:val="24"/>
        </w:rPr>
        <w:t>当η=0时采样完全确定，且可在同一套训练权重上以任意步数（如20步）跳步采样，为"采样步数—生成质量—采样耗时"的折中分析提供了便利工具。Dhariwal与Nichol[17]证明扩散模型在图像生成质量上可超越GAN，并将优势归因于其更好的分布覆盖能力与训练稳定性。</w:t>
      </w:r>
    </w:p>
    <w:p>
      <w:pPr>
        <w:spacing w:line="300" w:lineRule="auto" w:before="0" w:after="0"/>
        <w:ind w:firstLine="480"/>
        <w:jc w:val="both"/>
      </w:pPr>
      <w:r>
        <w:rPr>
          <w:rFonts w:ascii="Times New Roman" w:hAnsi="Times New Roman" w:eastAsia="宋体"/>
          <w:b w:val="0"/>
          <w:sz w:val="24"/>
        </w:rPr>
        <w:t>近两年，扩散模型开始进入卫星与空天信道领域：Tian与Cai[18]结合数字高程模型与射线追踪，利用扩散模型实现环境感知的空对地信道损耗预测；Huang等[19]将物理信息数字孪生用于NTN信道估计与业务预测；Xia等[20]将潜空间扩散模型与物理信息神经网络结合用于LEO信道建模。</w:t>
      </w:r>
    </w:p>
    <w:p>
      <w:pPr>
        <w:spacing w:line="300" w:lineRule="auto" w:before="40" w:after="40"/>
        <w:ind w:firstLine="0"/>
        <w:jc w:val="left"/>
      </w:pPr>
      <w:r>
        <w:rPr>
          <w:rFonts w:ascii="Times New Roman" w:hAnsi="Times New Roman" w:eastAsia="黑体"/>
          <w:b/>
          <w:sz w:val="24"/>
        </w:rPr>
        <w:t>（四）研究现状分析与本课题切入点</w:t>
      </w:r>
    </w:p>
    <w:p>
      <w:pPr>
        <w:spacing w:line="300" w:lineRule="auto" w:before="0" w:after="0"/>
        <w:ind w:firstLine="480"/>
        <w:jc w:val="both"/>
      </w:pPr>
      <w:r>
        <w:rPr>
          <w:rFonts w:ascii="Times New Roman" w:hAnsi="Times New Roman" w:eastAsia="宋体"/>
          <w:b w:val="0"/>
          <w:sz w:val="24"/>
        </w:rPr>
        <w:t>分析上述工作可见：文献[18]面向信道性能预测而非包络统计生成，文献[19]解决的是信道估计问题，文献[20]未基于Corazza数据、未做仰角条件包络生成、亦未与GAN公平对比。在"仰角条件Corazza包络序列统计生成"这一具体任务上，以统一数据集和统一三层评价体系对CGAN与条件扩散模型进行公平对比的工作尚属空白。</w:t>
      </w:r>
    </w:p>
    <w:p>
      <w:pPr>
        <w:spacing w:line="300" w:lineRule="auto" w:before="0" w:after="0"/>
        <w:ind w:firstLine="480"/>
        <w:jc w:val="both"/>
      </w:pPr>
      <w:r>
        <w:rPr>
          <w:rFonts w:ascii="Times New Roman" w:hAnsi="Times New Roman" w:eastAsia="宋体"/>
          <w:b w:val="0"/>
          <w:sz w:val="24"/>
        </w:rPr>
        <w:t>从生成机理看，两类范式存在结构性差异：GAN通过对抗训练隐式逼近数据分布，单步前向生成效率高，但分布覆盖与训练稳定性依赖多重技巧，且损失函数不显式约束时序相关结构与条件间一致性；扩散模型通过迭代去噪显式建模数据分布的逐级细化，训练为普通回归、天然稳定，其"由粗到细"的生成机制与信道包络"慢阴影+快衰落"的多尺度时序结构存在天然的适应性，但多步迭代带来采样开销。上述差异究竟在信道建模任务上如何体现，正是本课题要通过受控实验回答的问题。</w:t>
      </w:r>
    </w:p>
    <w:p>
      <w:pPr>
        <w:spacing w:line="300" w:lineRule="auto" w:before="80" w:after="80"/>
        <w:ind w:firstLine="0"/>
        <w:jc w:val="left"/>
      </w:pPr>
      <w:r>
        <w:rPr>
          <w:rFonts w:ascii="Times New Roman" w:hAnsi="Times New Roman" w:eastAsia="黑体"/>
          <w:b/>
          <w:sz w:val="28"/>
        </w:rPr>
        <w:t>3．主要研究内容</w:t>
      </w:r>
    </w:p>
    <w:p>
      <w:pPr>
        <w:spacing w:line="300" w:lineRule="auto" w:before="40" w:after="40"/>
        <w:ind w:firstLine="0"/>
        <w:jc w:val="left"/>
      </w:pPr>
      <w:r>
        <w:rPr>
          <w:rFonts w:ascii="Times New Roman" w:hAnsi="Times New Roman" w:eastAsia="黑体"/>
          <w:b/>
          <w:sz w:val="24"/>
        </w:rPr>
        <w:t>（一）Corazza参考模型数据生成管线构建</w:t>
      </w:r>
    </w:p>
    <w:p>
      <w:pPr>
        <w:spacing w:line="300" w:lineRule="auto" w:before="0" w:after="0"/>
        <w:ind w:firstLine="480"/>
        <w:jc w:val="both"/>
      </w:pPr>
      <w:r>
        <w:rPr>
          <w:rFonts w:ascii="Times New Roman" w:hAnsi="Times New Roman" w:eastAsia="宋体"/>
          <w:b w:val="0"/>
          <w:sz w:val="24"/>
        </w:rPr>
        <w:t>基于Corazza-Vatalaro统计模型[4]构建仰角条件（20°~80°）下的包络序列参考数据生成管线。包络按式(1)–(5)的参数化采样，时序结构由Jakes色噪声（快衰落）与一阶IIR低通阴影（慢衰落）级联产生（详见4.2节）。对包络实施log域标准化、对仰角实施线性归一化以改善模型训练的数值条件：</w:t>
      </w:r>
    </w:p>
    <w:p>
      <w:pPr>
        <w:spacing w:line="240" w:lineRule="auto" w:before="80" w:after="80"/>
        <w:ind w:firstLine="0"/>
        <w:jc w:val="center"/>
      </w:pPr>
      <w:r>
        <w:drawing>
          <wp:inline xmlns:a="http://schemas.openxmlformats.org/drawingml/2006/main" xmlns:pic="http://schemas.openxmlformats.org/drawingml/2006/picture">
            <wp:extent cx="3600000" cy="295551"/>
            <wp:docPr id="11" name="Picture 11"/>
            <wp:cNvGraphicFramePr>
              <a:graphicFrameLocks noChangeAspect="1"/>
            </wp:cNvGraphicFramePr>
            <a:graphic>
              <a:graphicData uri="http://schemas.openxmlformats.org/drawingml/2006/picture">
                <pic:pic>
                  <pic:nvPicPr>
                    <pic:cNvPr id="0" name="eq_13.png"/>
                    <pic:cNvPicPr/>
                  </pic:nvPicPr>
                  <pic:blipFill>
                    <a:blip r:embed="rId19"/>
                    <a:stretch>
                      <a:fillRect/>
                    </a:stretch>
                  </pic:blipFill>
                  <pic:spPr>
                    <a:xfrm>
                      <a:off x="0" y="0"/>
                      <a:ext cx="3600000" cy="295551"/>
                    </a:xfrm>
                    <a:prstGeom prst="rect"/>
                  </pic:spPr>
                </pic:pic>
              </a:graphicData>
            </a:graphic>
          </wp:inline>
        </w:drawing>
      </w:r>
    </w:p>
    <w:p>
      <w:pPr>
        <w:spacing w:line="300" w:lineRule="auto" w:before="0" w:after="0"/>
        <w:ind w:firstLine="480"/>
        <w:jc w:val="both"/>
      </w:pPr>
      <w:r>
        <w:rPr>
          <w:rFonts w:ascii="Times New Roman" w:hAnsi="Times New Roman" w:eastAsia="宋体"/>
          <w:b w:val="0"/>
          <w:sz w:val="24"/>
        </w:rPr>
        <w:t>其中μln, σln由全训练集一次性估计并冻结。生成规模为10000×1000的训练数据集并予以冻结，保证后续全部实验的数据口径唯一。数据质检采用理论CDF锚定、分箱统计校验与时序特性检验相结合的方式，确保参考数据自身的统计正确性。</w:t>
      </w:r>
    </w:p>
    <w:p>
      <w:pPr>
        <w:spacing w:line="300" w:lineRule="auto" w:before="40" w:after="40"/>
        <w:ind w:firstLine="0"/>
        <w:jc w:val="left"/>
      </w:pPr>
      <w:r>
        <w:rPr>
          <w:rFonts w:ascii="Times New Roman" w:hAnsi="Times New Roman" w:eastAsia="黑体"/>
          <w:b/>
          <w:sz w:val="24"/>
        </w:rPr>
        <w:t>（二）三层评价指标体系构建</w:t>
      </w:r>
    </w:p>
    <w:p>
      <w:pPr>
        <w:spacing w:line="300" w:lineRule="auto" w:before="0" w:after="0"/>
        <w:ind w:firstLine="480"/>
        <w:jc w:val="both"/>
      </w:pPr>
      <w:r>
        <w:rPr>
          <w:rFonts w:ascii="Times New Roman" w:hAnsi="Times New Roman" w:eastAsia="宋体"/>
          <w:b w:val="0"/>
          <w:sz w:val="24"/>
        </w:rPr>
        <w:t>构建覆盖三个层次的生成信道质量评价体系：L1静态分布层面考察PDF的L1距离、CDF的KS统计量、Wasserstein距离及各阶矩相对误差；L2时序特性层面考察包络自相关函数（ACF）、电平穿越率（LCR）与平均衰落持续时间（AFD）；L3系统性能层面考察QPSK调制下误比特率（BER）曲线的log10域RMSE。另设KL/JS散度与仰角-均值Spearman相关作为跨条件泛化指标。指标定义与验收线详见4.4节。指标库配套阴性/阳性对照回归测试以验证指标自身的判别有效性，接口冻结后作为全部模型评估的统一出口，保证模型间比较的口径一致。</w:t>
      </w:r>
    </w:p>
    <w:p>
      <w:pPr>
        <w:spacing w:line="300" w:lineRule="auto" w:before="40" w:after="40"/>
        <w:ind w:firstLine="0"/>
        <w:jc w:val="left"/>
      </w:pPr>
      <w:r>
        <w:rPr>
          <w:rFonts w:ascii="Times New Roman" w:hAnsi="Times New Roman" w:eastAsia="黑体"/>
          <w:b/>
          <w:sz w:val="24"/>
        </w:rPr>
        <w:t>（三）CGAN基线忠实复现</w:t>
      </w:r>
    </w:p>
    <w:p>
      <w:pPr>
        <w:spacing w:line="300" w:lineRule="auto" w:before="0" w:after="0"/>
        <w:ind w:firstLine="480"/>
        <w:jc w:val="both"/>
      </w:pPr>
      <w:r>
        <w:rPr>
          <w:rFonts w:ascii="Times New Roman" w:hAnsi="Times New Roman" w:eastAsia="宋体"/>
          <w:b w:val="0"/>
          <w:sz w:val="24"/>
        </w:rPr>
        <w:t>依据文献[1]公开的网络结构与训练超参数忠实复现CGAN基线：生成器采用"时序噪声滤波"卷积结构（噪声经多层Conv1d滤波为时序包络），判别器采用大感受野卷积结构（感受野435点），训练框架为WGAN-GP+TTUR+EMA（超参数详见4.3节表2）。在7个测试仰角（20°~80°，步长10°）上逐点验收，验收线为KS统计量小于0.07、仰角-均值Spearman相关系数大于0.99。复现除验证基线可用性外，还承担一项诊断任务：考察对抗式训练在条件区间边界与相邻条件间的一致性表现，为两类范式的机理对比提供第一手证据。</w:t>
      </w:r>
    </w:p>
    <w:p>
      <w:pPr>
        <w:spacing w:line="300" w:lineRule="auto" w:before="40" w:after="40"/>
        <w:ind w:firstLine="0"/>
        <w:jc w:val="left"/>
      </w:pPr>
      <w:r>
        <w:rPr>
          <w:rFonts w:ascii="Times New Roman" w:hAnsi="Times New Roman" w:eastAsia="黑体"/>
          <w:b/>
          <w:sz w:val="24"/>
        </w:rPr>
        <w:t>（四）条件扩散模型设计与实现</w:t>
      </w:r>
    </w:p>
    <w:p>
      <w:pPr>
        <w:spacing w:line="300" w:lineRule="auto" w:before="0" w:after="0"/>
        <w:ind w:firstLine="480"/>
        <w:jc w:val="both"/>
      </w:pPr>
      <w:r>
        <w:rPr>
          <w:rFonts w:ascii="Times New Roman" w:hAnsi="Times New Roman" w:eastAsia="宋体"/>
          <w:b w:val="0"/>
          <w:sz w:val="24"/>
        </w:rPr>
        <w:t>设计并实现面向一维包络序列的仰角条件去噪扩散概率模型：前向过程按式(8)–(9)逐步添加高斯噪声（T=1000，linear schedule）；反向过程以一维U-Net作为噪声预测网络，仰角条件经特征级线性调制（FiLM）注入各残差块：</w:t>
      </w:r>
    </w:p>
    <w:p>
      <w:pPr>
        <w:spacing w:line="240" w:lineRule="auto" w:before="80" w:after="80"/>
        <w:ind w:firstLine="0"/>
        <w:jc w:val="center"/>
      </w:pPr>
      <w:r>
        <w:drawing>
          <wp:inline xmlns:a="http://schemas.openxmlformats.org/drawingml/2006/main" xmlns:pic="http://schemas.openxmlformats.org/drawingml/2006/picture">
            <wp:extent cx="3240000" cy="243686"/>
            <wp:docPr id="12" name="Picture 12"/>
            <wp:cNvGraphicFramePr>
              <a:graphicFrameLocks noChangeAspect="1"/>
            </wp:cNvGraphicFramePr>
            <a:graphic>
              <a:graphicData uri="http://schemas.openxmlformats.org/drawingml/2006/picture">
                <pic:pic>
                  <pic:nvPicPr>
                    <pic:cNvPr id="0" name="eq_14.png"/>
                    <pic:cNvPicPr/>
                  </pic:nvPicPr>
                  <pic:blipFill>
                    <a:blip r:embed="rId20"/>
                    <a:stretch>
                      <a:fillRect/>
                    </a:stretch>
                  </pic:blipFill>
                  <pic:spPr>
                    <a:xfrm>
                      <a:off x="0" y="0"/>
                      <a:ext cx="3240000" cy="243686"/>
                    </a:xfrm>
                    <a:prstGeom prst="rect"/>
                  </pic:spPr>
                </pic:pic>
              </a:graphicData>
            </a:graphic>
          </wp:inline>
        </w:drawing>
      </w:r>
    </w:p>
    <w:p>
      <w:pPr>
        <w:spacing w:line="300" w:lineRule="auto" w:before="0" w:after="0"/>
        <w:ind w:firstLine="480"/>
        <w:jc w:val="both"/>
      </w:pPr>
      <w:r>
        <w:rPr>
          <w:rFonts w:ascii="Times New Roman" w:hAnsi="Times New Roman" w:eastAsia="宋体"/>
          <w:b w:val="0"/>
          <w:sz w:val="24"/>
        </w:rPr>
        <w:t>其中γ(α), β(α)为条件嵌入网络输出的逐通道仿射系数，实现条件可控生成；采样阶段引入DDIM确定性采样（式(12)）以压缩采样步数，并定量刻画"采样步数—生成质量—采样耗时"三者间的折中关系。</w:t>
      </w:r>
    </w:p>
    <w:p>
      <w:pPr>
        <w:spacing w:line="300" w:lineRule="auto" w:before="40" w:after="40"/>
        <w:ind w:firstLine="0"/>
        <w:jc w:val="left"/>
      </w:pPr>
      <w:r>
        <w:rPr>
          <w:rFonts w:ascii="Times New Roman" w:hAnsi="Times New Roman" w:eastAsia="黑体"/>
          <w:b/>
          <w:sz w:val="24"/>
        </w:rPr>
        <w:t>（五）系统性对比与稳健性检验</w:t>
      </w:r>
    </w:p>
    <w:p>
      <w:pPr>
        <w:spacing w:line="300" w:lineRule="auto" w:before="0" w:after="0"/>
        <w:ind w:firstLine="480"/>
        <w:jc w:val="both"/>
      </w:pPr>
      <w:r>
        <w:rPr>
          <w:rFonts w:ascii="Times New Roman" w:hAnsi="Times New Roman" w:eastAsia="宋体"/>
          <w:b w:val="0"/>
          <w:sz w:val="24"/>
        </w:rPr>
        <w:t>主对比实验在两模型共用的同一冻结训练集（Corazza参考数据）与统一指标体系下开展，从分布拟合精度、时序特性保持能力、系统性能（BER）后果、连续仰角条件泛化、训练稳定性及采样效率（吞吐、延迟与参数量）等维度进行系统性对比，归纳两类生成范式各自的能力边界与适用场景。在此基础上开展跨数据源的稳健性检验：基于物理机理的信道仿真方法生成含多维条件（仰角/频率/环境/LoS状态）的扩充数据集，并视数据获取条件引入实测信道数据，两模型分别在同一新数据集上重训并重复上述对比，以检验主要结论对训练数据分布与条件维度的稳健性。</w:t>
      </w:r>
    </w:p>
    <w:p>
      <w:pPr>
        <w:spacing w:line="300" w:lineRule="auto" w:before="80" w:after="80"/>
        <w:ind w:firstLine="0"/>
        <w:jc w:val="left"/>
      </w:pPr>
      <w:r>
        <w:rPr>
          <w:rFonts w:ascii="Times New Roman" w:hAnsi="Times New Roman" w:eastAsia="黑体"/>
          <w:b/>
          <w:sz w:val="28"/>
        </w:rPr>
        <w:t>4．研究方案</w:t>
      </w:r>
    </w:p>
    <w:p>
      <w:pPr>
        <w:spacing w:line="300" w:lineRule="auto" w:before="40" w:after="40"/>
        <w:ind w:firstLine="0"/>
        <w:jc w:val="left"/>
      </w:pPr>
      <w:r>
        <w:rPr>
          <w:rFonts w:ascii="Times New Roman" w:hAnsi="Times New Roman" w:eastAsia="黑体"/>
          <w:b/>
          <w:sz w:val="24"/>
        </w:rPr>
        <w:t>（一）总体技术路线</w:t>
      </w:r>
    </w:p>
    <w:p>
      <w:pPr>
        <w:spacing w:line="300" w:lineRule="auto" w:before="0" w:after="0"/>
        <w:ind w:firstLine="480"/>
        <w:jc w:val="both"/>
      </w:pPr>
      <w:r>
        <w:rPr>
          <w:rFonts w:ascii="Times New Roman" w:hAnsi="Times New Roman" w:eastAsia="宋体"/>
          <w:b w:val="0"/>
          <w:sz w:val="24"/>
        </w:rPr>
        <w:t>本课题采用"双管线、一体系"的总体技术路线：数据管线与模型管线并行构建，统一三层评价体系贯穿全部实验环节，如图1所示。</w:t>
      </w:r>
    </w:p>
    <w:p>
      <w:pPr>
        <w:spacing w:line="240" w:lineRule="auto" w:before="120" w:after="40"/>
        <w:ind w:firstLine="0"/>
        <w:jc w:val="center"/>
      </w:pPr>
      <w:r>
        <w:drawing>
          <wp:inline xmlns:a="http://schemas.openxmlformats.org/drawingml/2006/main" xmlns:pic="http://schemas.openxmlformats.org/drawingml/2006/picture">
            <wp:extent cx="5580000" cy="2659148"/>
            <wp:docPr id="13" name="Picture 13"/>
            <wp:cNvGraphicFramePr>
              <a:graphicFrameLocks noChangeAspect="1"/>
            </wp:cNvGraphicFramePr>
            <a:graphic>
              <a:graphicData uri="http://schemas.openxmlformats.org/drawingml/2006/picture">
                <pic:pic>
                  <pic:nvPicPr>
                    <pic:cNvPr id="0" name="tikz_fig1.png"/>
                    <pic:cNvPicPr/>
                  </pic:nvPicPr>
                  <pic:blipFill>
                    <a:blip r:embed="rId21"/>
                    <a:stretch>
                      <a:fillRect/>
                    </a:stretch>
                  </pic:blipFill>
                  <pic:spPr>
                    <a:xfrm>
                      <a:off x="0" y="0"/>
                      <a:ext cx="5580000" cy="2659148"/>
                    </a:xfrm>
                    <a:prstGeom prst="rect"/>
                  </pic:spPr>
                </pic:pic>
              </a:graphicData>
            </a:graphic>
          </wp:inline>
        </w:drawing>
      </w:r>
    </w:p>
    <w:p>
      <w:pPr>
        <w:spacing w:line="300" w:lineRule="auto" w:before="0" w:after="120"/>
        <w:ind w:firstLine="0"/>
        <w:jc w:val="center"/>
      </w:pPr>
      <w:r>
        <w:rPr>
          <w:rFonts w:ascii="Times New Roman" w:hAnsi="Times New Roman" w:eastAsia="宋体"/>
          <w:b w:val="0"/>
          <w:sz w:val="21"/>
        </w:rPr>
        <w:t>图1  总体技术路线：双管线、一体系</w:t>
      </w:r>
    </w:p>
    <w:p>
      <w:pPr>
        <w:spacing w:line="300" w:lineRule="auto" w:before="40" w:after="40"/>
        <w:ind w:firstLine="0"/>
        <w:jc w:val="left"/>
      </w:pPr>
      <w:r>
        <w:rPr>
          <w:rFonts w:ascii="Times New Roman" w:hAnsi="Times New Roman" w:eastAsia="黑体"/>
          <w:b/>
          <w:sz w:val="24"/>
        </w:rPr>
        <w:t>（二）数据管线方案</w:t>
      </w:r>
    </w:p>
    <w:p>
      <w:pPr>
        <w:spacing w:line="300" w:lineRule="auto" w:before="0" w:after="0"/>
        <w:ind w:firstLine="480"/>
        <w:jc w:val="both"/>
      </w:pPr>
      <w:r>
        <w:rPr>
          <w:rFonts w:ascii="Times New Roman" w:hAnsi="Times New Roman" w:eastAsia="宋体"/>
          <w:b w:val="0"/>
          <w:sz w:val="24"/>
        </w:rPr>
        <w:t>以Corazza统计模型为参考数据源，以仰角α∈[20°,80°]为条件生成包络序列，序列长度1000、采样率fs=1000 Hz（序列时长1 s）。时序生成机制如图2所示：</w:t>
      </w:r>
    </w:p>
    <w:p>
      <w:pPr>
        <w:spacing w:line="240" w:lineRule="auto" w:before="120" w:after="40"/>
        <w:ind w:firstLine="0"/>
        <w:jc w:val="center"/>
      </w:pPr>
      <w:r>
        <w:drawing>
          <wp:inline xmlns:a="http://schemas.openxmlformats.org/drawingml/2006/main" xmlns:pic="http://schemas.openxmlformats.org/drawingml/2006/picture">
            <wp:extent cx="5580000" cy="923524"/>
            <wp:docPr id="14" name="Picture 14"/>
            <wp:cNvGraphicFramePr>
              <a:graphicFrameLocks noChangeAspect="1"/>
            </wp:cNvGraphicFramePr>
            <a:graphic>
              <a:graphicData uri="http://schemas.openxmlformats.org/drawingml/2006/picture">
                <pic:pic>
                  <pic:nvPicPr>
                    <pic:cNvPr id="0" name="tikz_fig2.png"/>
                    <pic:cNvPicPr/>
                  </pic:nvPicPr>
                  <pic:blipFill>
                    <a:blip r:embed="rId22"/>
                    <a:stretch>
                      <a:fillRect/>
                    </a:stretch>
                  </pic:blipFill>
                  <pic:spPr>
                    <a:xfrm>
                      <a:off x="0" y="0"/>
                      <a:ext cx="5580000" cy="923524"/>
                    </a:xfrm>
                    <a:prstGeom prst="rect"/>
                  </pic:spPr>
                </pic:pic>
              </a:graphicData>
            </a:graphic>
          </wp:inline>
        </w:drawing>
      </w:r>
    </w:p>
    <w:p>
      <w:pPr>
        <w:spacing w:line="300" w:lineRule="auto" w:before="0" w:after="120"/>
        <w:ind w:firstLine="0"/>
        <w:jc w:val="center"/>
      </w:pPr>
      <w:r>
        <w:rPr>
          <w:rFonts w:ascii="Times New Roman" w:hAnsi="Times New Roman" w:eastAsia="宋体"/>
          <w:b w:val="0"/>
          <w:sz w:val="21"/>
        </w:rPr>
        <w:t>图2  Corazza参考信道时序生成机理：快衰落（Jakes）与慢阴影（IIR低通Lognormal）级联</w:t>
      </w:r>
    </w:p>
    <w:p>
      <w:pPr>
        <w:spacing w:line="300" w:lineRule="auto" w:before="0" w:after="0"/>
        <w:ind w:firstLine="480"/>
        <w:jc w:val="both"/>
      </w:pPr>
      <w:r>
        <w:rPr>
          <w:rFonts w:ascii="Times New Roman" w:hAnsi="Times New Roman" w:eastAsia="宋体"/>
          <w:b w:val="0"/>
          <w:sz w:val="24"/>
        </w:rPr>
        <w:t>其中快衰落支路产生时间相关的Rice包络，其自相关函数为J0(2πfdτ)（fd=50 Hz为最大多普勒频移）；慢阴影支路经一阶IIR低通产生相关Lognormal序列，相关时间τc=0.3 s。两支路相乘得到具有真实多尺度时序结构的复合包络。模型参数K(α), μ(α), σ(α)随仰角的变化如图3所示：低仰角时K小（直射弱）、μ低、σ大（阴影强），衰落更深。</w:t>
      </w:r>
    </w:p>
    <w:p>
      <w:pPr>
        <w:spacing w:line="300" w:lineRule="auto" w:before="0" w:after="0"/>
        <w:ind w:firstLine="480"/>
        <w:jc w:val="both"/>
      </w:pPr>
      <w:r>
        <w:rPr>
          <w:rFonts w:ascii="Times New Roman" w:hAnsi="Times New Roman" w:eastAsia="宋体"/>
          <w:b w:val="0"/>
          <w:sz w:val="24"/>
        </w:rPr>
        <w:t>对包络实施式(13)的log域标准化与仰角归一化，形成两模型共用的标准化模型输入。冻结数据集规格见表1。跨数据源稳健性检验所需的扩充数据集由同一物理机理仿真方法生成，质检标准与主数据集一致。</w:t>
      </w:r>
    </w:p>
    <w:p>
      <w:pPr>
        <w:spacing w:line="240" w:lineRule="auto" w:before="120" w:after="40"/>
        <w:ind w:firstLine="0"/>
        <w:jc w:val="center"/>
      </w:pPr>
      <w:r>
        <w:drawing>
          <wp:inline xmlns:a="http://schemas.openxmlformats.org/drawingml/2006/main" xmlns:pic="http://schemas.openxmlformats.org/drawingml/2006/picture">
            <wp:extent cx="3960000" cy="5091429"/>
            <wp:docPr id="15" name="Picture 15"/>
            <wp:cNvGraphicFramePr>
              <a:graphicFrameLocks noChangeAspect="1"/>
            </wp:cNvGraphicFramePr>
            <a:graphic>
              <a:graphicData uri="http://schemas.openxmlformats.org/drawingml/2006/picture">
                <pic:pic>
                  <pic:nvPicPr>
                    <pic:cNvPr id="0" name="corazza_params.png"/>
                    <pic:cNvPicPr/>
                  </pic:nvPicPr>
                  <pic:blipFill>
                    <a:blip r:embed="rId23"/>
                    <a:stretch>
                      <a:fillRect/>
                    </a:stretch>
                  </pic:blipFill>
                  <pic:spPr>
                    <a:xfrm>
                      <a:off x="0" y="0"/>
                      <a:ext cx="3960000" cy="5091429"/>
                    </a:xfrm>
                    <a:prstGeom prst="rect"/>
                  </pic:spPr>
                </pic:pic>
              </a:graphicData>
            </a:graphic>
          </wp:inline>
        </w:drawing>
      </w:r>
    </w:p>
    <w:p>
      <w:pPr>
        <w:spacing w:line="300" w:lineRule="auto" w:before="0" w:after="120"/>
        <w:ind w:firstLine="0"/>
        <w:jc w:val="center"/>
      </w:pPr>
      <w:r>
        <w:rPr>
          <w:rFonts w:ascii="Times New Roman" w:hAnsi="Times New Roman" w:eastAsia="宋体"/>
          <w:b w:val="0"/>
          <w:sz w:val="21"/>
        </w:rPr>
        <w:t>图3  Corazza模型参数随仰角的变化（式(3)–(5)）</w:t>
      </w:r>
    </w:p>
    <w:p>
      <w:pPr>
        <w:spacing w:line="300" w:lineRule="auto" w:before="120" w:after="40"/>
        <w:ind w:firstLine="0"/>
        <w:jc w:val="center"/>
      </w:pPr>
      <w:r>
        <w:rPr>
          <w:rFonts w:ascii="Times New Roman" w:hAnsi="Times New Roman" w:eastAsia="宋体"/>
          <w:b w:val="0"/>
          <w:sz w:val="21"/>
        </w:rPr>
        <w:t>表1  冻结训练数据集规格</w:t>
      </w:r>
    </w:p>
    <w:tbl>
      <w:tblPr>
        <w:tblW w:type="auto" w:w="0"/>
        <w:jc w:val="center"/>
        <w:tblLook w:firstColumn="1" w:firstRow="1" w:lastColumn="0" w:lastRow="0" w:noHBand="0" w:noVBand="1" w:val="04A0"/>
      </w:tblPr>
      <w:tblGrid>
        <w:gridCol w:w="2324"/>
        <w:gridCol w:w="2324"/>
        <w:gridCol w:w="2324"/>
        <w:gridCol w:w="2324"/>
      </w:tblGrid>
      <w:tr>
        <w:tc>
          <w:tcPr>
            <w:tcW w:type="dxa" w:w="1984"/>
            <w:vAlign w:val="center"/>
            <w:tcBorders>
              <w:left w:val="none" w:sz="0" w:space="0"/>
              <w:right w:val="none" w:sz="0" w:space="0"/>
              <w:top w:val="single" w:sz="8" w:space="0"/>
              <w:bottom w:val="single" w:sz="4" w:space="0"/>
            </w:tcBorders>
          </w:tcPr>
          <w:p>
            <w:pPr>
              <w:spacing w:line="276" w:lineRule="auto" w:before="0" w:after="0"/>
              <w:ind w:firstLine="0"/>
              <w:jc w:val="center"/>
            </w:pPr>
            <w:r/>
            <w:r>
              <w:rPr>
                <w:rFonts w:ascii="Times New Roman" w:hAnsi="Times New Roman" w:eastAsia="宋体"/>
                <w:b w:val="0"/>
                <w:sz w:val="21"/>
              </w:rPr>
              <w:t>项目</w:t>
            </w:r>
          </w:p>
        </w:tc>
        <w:tc>
          <w:tcPr>
            <w:tcW w:type="dxa" w:w="2551"/>
            <w:vAlign w:val="center"/>
            <w:tcBorders>
              <w:left w:val="none" w:sz="0" w:space="0"/>
              <w:right w:val="none" w:sz="0" w:space="0"/>
              <w:top w:val="single" w:sz="8" w:space="0"/>
              <w:bottom w:val="single" w:sz="4" w:space="0"/>
            </w:tcBorders>
          </w:tcPr>
          <w:p>
            <w:pPr>
              <w:spacing w:line="276" w:lineRule="auto" w:before="0" w:after="0"/>
              <w:ind w:firstLine="0"/>
              <w:jc w:val="center"/>
            </w:pPr>
            <w:r/>
            <w:r>
              <w:rPr>
                <w:rFonts w:ascii="Times New Roman" w:hAnsi="Times New Roman" w:eastAsia="宋体"/>
                <w:b w:val="0"/>
                <w:sz w:val="21"/>
              </w:rPr>
              <w:t>取值</w:t>
            </w:r>
          </w:p>
        </w:tc>
        <w:tc>
          <w:tcPr>
            <w:tcW w:type="dxa" w:w="1984"/>
            <w:vAlign w:val="center"/>
            <w:tcBorders>
              <w:left w:val="none" w:sz="0" w:space="0"/>
              <w:right w:val="none" w:sz="0" w:space="0"/>
              <w:top w:val="single" w:sz="8" w:space="0"/>
              <w:bottom w:val="single" w:sz="4" w:space="0"/>
            </w:tcBorders>
          </w:tcPr>
          <w:p>
            <w:pPr>
              <w:spacing w:line="276" w:lineRule="auto" w:before="0" w:after="0"/>
              <w:ind w:firstLine="0"/>
              <w:jc w:val="center"/>
            </w:pPr>
            <w:r/>
            <w:r>
              <w:rPr>
                <w:rFonts w:ascii="Times New Roman" w:hAnsi="Times New Roman" w:eastAsia="宋体"/>
                <w:b w:val="0"/>
                <w:sz w:val="21"/>
              </w:rPr>
              <w:t>项目</w:t>
            </w:r>
          </w:p>
        </w:tc>
        <w:tc>
          <w:tcPr>
            <w:tcW w:type="dxa" w:w="2551"/>
            <w:vAlign w:val="center"/>
            <w:tcBorders>
              <w:left w:val="none" w:sz="0" w:space="0"/>
              <w:right w:val="none" w:sz="0" w:space="0"/>
              <w:top w:val="single" w:sz="8" w:space="0"/>
              <w:bottom w:val="single" w:sz="4" w:space="0"/>
            </w:tcBorders>
          </w:tcPr>
          <w:p>
            <w:pPr>
              <w:spacing w:line="276" w:lineRule="auto" w:before="0" w:after="0"/>
              <w:ind w:firstLine="0"/>
              <w:jc w:val="center"/>
            </w:pPr>
            <w:r/>
            <w:r>
              <w:rPr>
                <w:rFonts w:ascii="Times New Roman" w:hAnsi="Times New Roman" w:eastAsia="宋体"/>
                <w:b w:val="0"/>
                <w:sz w:val="21"/>
              </w:rPr>
              <w:t>取值</w:t>
            </w:r>
          </w:p>
        </w:tc>
      </w:tr>
      <w:tr>
        <w:tc>
          <w:tcPr>
            <w:tcW w:type="dxa" w:w="198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1"/>
              </w:rPr>
              <w:t>规模</w:t>
            </w:r>
          </w:p>
        </w:tc>
        <w:tc>
          <w:tcPr>
            <w:tcW w:type="dxa" w:w="2551"/>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1"/>
              </w:rPr>
              <w:t>10000×1000（条×点）</w:t>
            </w:r>
          </w:p>
        </w:tc>
        <w:tc>
          <w:tcPr>
            <w:tcW w:type="dxa" w:w="198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1"/>
              </w:rPr>
              <w:t>仰角采样</w:t>
            </w:r>
          </w:p>
        </w:tc>
        <w:tc>
          <w:tcPr>
            <w:tcW w:type="dxa" w:w="2551"/>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1"/>
              </w:rPr>
              <w:t>[20°,80°] 连续均匀</w:t>
            </w:r>
          </w:p>
        </w:tc>
      </w:tr>
      <w:tr>
        <w:tc>
          <w:tcPr>
            <w:tcW w:type="dxa" w:w="198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1"/>
              </w:rPr>
              <w:t>序列时长</w:t>
            </w:r>
          </w:p>
        </w:tc>
        <w:tc>
          <w:tcPr>
            <w:tcW w:type="dxa" w:w="2551"/>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1"/>
              </w:rPr>
              <w:t>1 s（fs=1000 Hz）</w:t>
            </w:r>
          </w:p>
        </w:tc>
        <w:tc>
          <w:tcPr>
            <w:tcW w:type="dxa" w:w="198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1"/>
              </w:rPr>
              <w:t>最大多普勒频移</w:t>
            </w:r>
          </w:p>
        </w:tc>
        <w:tc>
          <w:tcPr>
            <w:tcW w:type="dxa" w:w="2551"/>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1"/>
              </w:rPr>
              <w:t>fd=50 Hz</w:t>
            </w:r>
          </w:p>
        </w:tc>
      </w:tr>
      <w:tr>
        <w:tc>
          <w:tcPr>
            <w:tcW w:type="dxa" w:w="198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1"/>
              </w:rPr>
              <w:t>阴影相关时间</w:t>
            </w:r>
          </w:p>
        </w:tc>
        <w:tc>
          <w:tcPr>
            <w:tcW w:type="dxa" w:w="2551"/>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1"/>
              </w:rPr>
              <w:t>τc=0.3 s</w:t>
            </w:r>
          </w:p>
        </w:tc>
        <w:tc>
          <w:tcPr>
            <w:tcW w:type="dxa" w:w="198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1"/>
              </w:rPr>
              <w:t>随机种子</w:t>
            </w:r>
          </w:p>
        </w:tc>
        <w:tc>
          <w:tcPr>
            <w:tcW w:type="dxa" w:w="2551"/>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1"/>
              </w:rPr>
              <w:t>42</w:t>
            </w:r>
          </w:p>
        </w:tc>
      </w:tr>
      <w:tr>
        <w:tc>
          <w:tcPr>
            <w:tcW w:type="dxa" w:w="198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1"/>
              </w:rPr>
              <w:t>标准化常数 μln</w:t>
            </w:r>
          </w:p>
        </w:tc>
        <w:tc>
          <w:tcPr>
            <w:tcW w:type="dxa" w:w="2551"/>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1"/>
              </w:rPr>
              <w:t>-0.3033</w:t>
            </w:r>
          </w:p>
        </w:tc>
        <w:tc>
          <w:tcPr>
            <w:tcW w:type="dxa" w:w="198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1"/>
              </w:rPr>
              <w:t>σln</w:t>
            </w:r>
          </w:p>
        </w:tc>
        <w:tc>
          <w:tcPr>
            <w:tcW w:type="dxa" w:w="2551"/>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1"/>
              </w:rPr>
              <w:t>0.5086（ε=10⁻⁶）</w:t>
            </w:r>
          </w:p>
        </w:tc>
      </w:tr>
      <w:tr>
        <w:tc>
          <w:tcPr>
            <w:tcW w:type="dxa" w:w="1984"/>
            <w:vAlign w:val="center"/>
            <w:tcBorders>
              <w:left w:val="none" w:sz="0" w:space="0"/>
              <w:right w:val="none" w:sz="0" w:space="0"/>
              <w:top w:val="none" w:sz="6" w:space="0"/>
              <w:bottom w:val="single" w:sz="8" w:space="0"/>
            </w:tcBorders>
          </w:tcPr>
          <w:p>
            <w:pPr>
              <w:spacing w:line="276" w:lineRule="auto" w:before="0" w:after="0"/>
              <w:ind w:firstLine="0"/>
              <w:jc w:val="center"/>
            </w:pPr>
            <w:r/>
            <w:r>
              <w:rPr>
                <w:rFonts w:ascii="Times New Roman" w:hAnsi="Times New Roman" w:eastAsia="宋体"/>
                <w:b w:val="0"/>
                <w:sz w:val="21"/>
              </w:rPr>
              <w:t>存储精度</w:t>
            </w:r>
          </w:p>
        </w:tc>
        <w:tc>
          <w:tcPr>
            <w:tcW w:type="dxa" w:w="2551"/>
            <w:vAlign w:val="center"/>
            <w:tcBorders>
              <w:left w:val="none" w:sz="0" w:space="0"/>
              <w:right w:val="none" w:sz="0" w:space="0"/>
              <w:top w:val="none" w:sz="6" w:space="0"/>
              <w:bottom w:val="single" w:sz="8" w:space="0"/>
            </w:tcBorders>
          </w:tcPr>
          <w:p>
            <w:pPr>
              <w:spacing w:line="276" w:lineRule="auto" w:before="0" w:after="0"/>
              <w:ind w:firstLine="0"/>
              <w:jc w:val="center"/>
            </w:pPr>
            <w:r/>
            <w:r>
              <w:rPr>
                <w:rFonts w:ascii="Times New Roman" w:hAnsi="Times New Roman" w:eastAsia="宋体"/>
                <w:b w:val="0"/>
                <w:sz w:val="21"/>
              </w:rPr>
              <w:t>float32（38.3 MB）</w:t>
            </w:r>
          </w:p>
        </w:tc>
        <w:tc>
          <w:tcPr>
            <w:tcW w:type="dxa" w:w="1984"/>
            <w:vAlign w:val="center"/>
            <w:tcBorders>
              <w:left w:val="none" w:sz="0" w:space="0"/>
              <w:right w:val="none" w:sz="0" w:space="0"/>
              <w:top w:val="none" w:sz="6" w:space="0"/>
              <w:bottom w:val="single" w:sz="8" w:space="0"/>
            </w:tcBorders>
          </w:tcPr>
          <w:p>
            <w:pPr>
              <w:spacing w:line="276" w:lineRule="auto" w:before="0" w:after="0"/>
              <w:ind w:firstLine="0"/>
              <w:jc w:val="center"/>
            </w:pPr>
            <w:r/>
            <w:r>
              <w:rPr>
                <w:rFonts w:ascii="Times New Roman" w:hAnsi="Times New Roman" w:eastAsia="宋体"/>
                <w:b w:val="0"/>
                <w:sz w:val="21"/>
              </w:rPr>
              <w:t>用途</w:t>
            </w:r>
          </w:p>
        </w:tc>
        <w:tc>
          <w:tcPr>
            <w:tcW w:type="dxa" w:w="2551"/>
            <w:vAlign w:val="center"/>
            <w:tcBorders>
              <w:left w:val="none" w:sz="0" w:space="0"/>
              <w:right w:val="none" w:sz="0" w:space="0"/>
              <w:top w:val="none" w:sz="6" w:space="0"/>
              <w:bottom w:val="single" w:sz="8" w:space="0"/>
            </w:tcBorders>
          </w:tcPr>
          <w:p>
            <w:pPr>
              <w:spacing w:line="276" w:lineRule="auto" w:before="0" w:after="0"/>
              <w:ind w:firstLine="0"/>
              <w:jc w:val="center"/>
            </w:pPr>
            <w:r/>
            <w:r>
              <w:rPr>
                <w:rFonts w:ascii="Times New Roman" w:hAnsi="Times New Roman" w:eastAsia="宋体"/>
                <w:b w:val="0"/>
                <w:sz w:val="21"/>
              </w:rPr>
              <w:t>两模型共用训练集</w:t>
            </w:r>
          </w:p>
        </w:tc>
      </w:tr>
    </w:tbl>
    <w:p>
      <w:pPr>
        <w:spacing w:line="300" w:lineRule="auto" w:before="40" w:after="40"/>
        <w:ind w:firstLine="0"/>
        <w:jc w:val="left"/>
      </w:pPr>
      <w:r>
        <w:rPr>
          <w:rFonts w:ascii="Times New Roman" w:hAnsi="Times New Roman" w:eastAsia="黑体"/>
          <w:b/>
          <w:sz w:val="24"/>
        </w:rPr>
        <w:t>（三）模型管线方案</w:t>
      </w:r>
    </w:p>
    <w:p>
      <w:pPr>
        <w:spacing w:line="300" w:lineRule="auto" w:before="0" w:after="0"/>
        <w:ind w:firstLine="480"/>
        <w:jc w:val="both"/>
      </w:pPr>
      <w:r>
        <w:rPr>
          <w:rFonts w:ascii="Times New Roman" w:hAnsi="Times New Roman" w:eastAsia="宋体"/>
          <w:b w:val="0"/>
          <w:sz w:val="24"/>
        </w:rPr>
        <w:t>并行构建两个仰角条件生成模型。</w:t>
      </w:r>
    </w:p>
    <w:p>
      <w:pPr>
        <w:spacing w:line="300" w:lineRule="auto" w:before="0" w:after="0"/>
        <w:ind w:firstLine="480"/>
        <w:jc w:val="both"/>
      </w:pPr>
      <w:r>
        <w:rPr>
          <w:rFonts w:ascii="Times New Roman" w:hAnsi="Times New Roman" w:eastAsia="宋体"/>
          <w:b w:val="0"/>
          <w:sz w:val="24"/>
        </w:rPr>
        <w:t>（1）CGAN对照基线。结构如图4所示。生成器将高斯噪声z∈R³²ˣ¹⁰⁰⁰与仰角条件常数通道拼接后，经4层Conv1d（kernel=15，通道64→128→128→64）逐层滤波，把逐时刻白噪声"滤波"为具有时间相关性的包络序列；判别器采用5层stride=2的Conv1d（kernel=15），感受野达435点（覆盖信道自相关主瓣），末端全局平均池化后输出critic分数。训练以WGAN-GP框架（式(7)）进行。</w:t>
      </w:r>
    </w:p>
    <w:p>
      <w:pPr>
        <w:spacing w:line="240" w:lineRule="auto" w:before="120" w:after="40"/>
        <w:ind w:firstLine="0"/>
        <w:jc w:val="center"/>
      </w:pPr>
      <w:r>
        <w:drawing>
          <wp:inline xmlns:a="http://schemas.openxmlformats.org/drawingml/2006/main" xmlns:pic="http://schemas.openxmlformats.org/drawingml/2006/picture">
            <wp:extent cx="5400000" cy="2218425"/>
            <wp:docPr id="16" name="Picture 16"/>
            <wp:cNvGraphicFramePr>
              <a:graphicFrameLocks noChangeAspect="1"/>
            </wp:cNvGraphicFramePr>
            <a:graphic>
              <a:graphicData uri="http://schemas.openxmlformats.org/drawingml/2006/picture">
                <pic:pic>
                  <pic:nvPicPr>
                    <pic:cNvPr id="0" name="tikz_fig4.png"/>
                    <pic:cNvPicPr/>
                  </pic:nvPicPr>
                  <pic:blipFill>
                    <a:blip r:embed="rId24"/>
                    <a:stretch>
                      <a:fillRect/>
                    </a:stretch>
                  </pic:blipFill>
                  <pic:spPr>
                    <a:xfrm>
                      <a:off x="0" y="0"/>
                      <a:ext cx="5400000" cy="2218425"/>
                    </a:xfrm>
                    <a:prstGeom prst="rect"/>
                  </pic:spPr>
                </pic:pic>
              </a:graphicData>
            </a:graphic>
          </wp:inline>
        </w:drawing>
      </w:r>
    </w:p>
    <w:p>
      <w:pPr>
        <w:spacing w:line="300" w:lineRule="auto" w:before="0" w:after="120"/>
        <w:ind w:firstLine="0"/>
        <w:jc w:val="center"/>
      </w:pPr>
      <w:r>
        <w:rPr>
          <w:rFonts w:ascii="Times New Roman" w:hAnsi="Times New Roman" w:eastAsia="宋体"/>
          <w:b w:val="0"/>
          <w:sz w:val="21"/>
        </w:rPr>
        <w:t>图4  CGAN基线结构：时序噪声滤波生成器+大感受野判别器</w:t>
      </w:r>
    </w:p>
    <w:p>
      <w:pPr>
        <w:spacing w:line="300" w:lineRule="auto" w:before="0" w:after="0"/>
        <w:ind w:firstLine="480"/>
        <w:jc w:val="both"/>
      </w:pPr>
      <w:r>
        <w:rPr>
          <w:rFonts w:ascii="Times New Roman" w:hAnsi="Times New Roman" w:eastAsia="宋体"/>
          <w:b w:val="0"/>
          <w:sz w:val="24"/>
        </w:rPr>
        <w:t>（2）条件扩散模型。结构如图5所示。前向过程按式(8)–(9)加噪（T=1000，linear schedule：β: 10⁻⁴→0.02）；反向过程以一维U-Net（3级下采样1000→500→250→125，通道64→128→256，跳跃连接，kernel=15与CGAN同款大核以捕捉信道自相关）为去噪网络；时间步经正弦编码+MLP逐残差块相加注入，仰角条件经FiLM（式(14)）逐残差块仿射调制。训练目标为式(10)的ε预测MSE；采样支持DDPM祖先采样（式(11)）与DDIM确定性跳步（式(12)，η=0）。</w:t>
      </w:r>
    </w:p>
    <w:p>
      <w:pPr>
        <w:spacing w:line="240" w:lineRule="auto" w:before="120" w:after="40"/>
        <w:ind w:firstLine="0"/>
        <w:jc w:val="center"/>
      </w:pPr>
      <w:r>
        <w:drawing>
          <wp:inline xmlns:a="http://schemas.openxmlformats.org/drawingml/2006/main" xmlns:pic="http://schemas.openxmlformats.org/drawingml/2006/picture">
            <wp:extent cx="5580000" cy="1745431"/>
            <wp:docPr id="17" name="Picture 17"/>
            <wp:cNvGraphicFramePr>
              <a:graphicFrameLocks noChangeAspect="1"/>
            </wp:cNvGraphicFramePr>
            <a:graphic>
              <a:graphicData uri="http://schemas.openxmlformats.org/drawingml/2006/picture">
                <pic:pic>
                  <pic:nvPicPr>
                    <pic:cNvPr id="0" name="tikz_fig5.png"/>
                    <pic:cNvPicPr/>
                  </pic:nvPicPr>
                  <pic:blipFill>
                    <a:blip r:embed="rId25"/>
                    <a:stretch>
                      <a:fillRect/>
                    </a:stretch>
                  </pic:blipFill>
                  <pic:spPr>
                    <a:xfrm>
                      <a:off x="0" y="0"/>
                      <a:ext cx="5580000" cy="1745431"/>
                    </a:xfrm>
                    <a:prstGeom prst="rect"/>
                  </pic:spPr>
                </pic:pic>
              </a:graphicData>
            </a:graphic>
          </wp:inline>
        </w:drawing>
      </w:r>
    </w:p>
    <w:p>
      <w:pPr>
        <w:spacing w:line="300" w:lineRule="auto" w:before="0" w:after="120"/>
        <w:ind w:firstLine="0"/>
        <w:jc w:val="center"/>
      </w:pPr>
      <w:r>
        <w:rPr>
          <w:rFonts w:ascii="Times New Roman" w:hAnsi="Times New Roman" w:eastAsia="宋体"/>
          <w:b w:val="0"/>
          <w:sz w:val="21"/>
        </w:rPr>
        <w:t>图5  条件扩散模型结构与训练/采样流程</w:t>
      </w:r>
    </w:p>
    <w:p>
      <w:pPr>
        <w:spacing w:line="300" w:lineRule="auto" w:before="0" w:after="0"/>
        <w:ind w:firstLine="480"/>
        <w:jc w:val="both"/>
      </w:pPr>
      <w:r>
        <w:rPr>
          <w:rFonts w:ascii="Times New Roman" w:hAnsi="Times New Roman" w:eastAsia="宋体"/>
          <w:b w:val="0"/>
          <w:sz w:val="24"/>
        </w:rPr>
        <w:t>两模型的训练配置对照见表2。核心差异有三：目标函数（对抗博弈 vs 回归）、条件注入方式（单次通道拼接 vs 逐残差块FiLM）、采样方式（单步前向 vs 多步迭代去噪）——这三点正是后续对比实验的机理变量。</w:t>
      </w:r>
    </w:p>
    <w:p>
      <w:pPr>
        <w:spacing w:line="300" w:lineRule="auto" w:before="120" w:after="40"/>
        <w:ind w:firstLine="0"/>
        <w:jc w:val="center"/>
      </w:pPr>
      <w:r>
        <w:rPr>
          <w:rFonts w:ascii="Times New Roman" w:hAnsi="Times New Roman" w:eastAsia="宋体"/>
          <w:b w:val="0"/>
          <w:sz w:val="21"/>
        </w:rPr>
        <w:t>表2  CGAN与条件扩散模型训练配置对照</w:t>
      </w:r>
    </w:p>
    <w:tbl>
      <w:tblPr>
        <w:tblW w:type="auto" w:w="0"/>
        <w:jc w:val="center"/>
        <w:tblLook w:firstColumn="1" w:firstRow="1" w:lastColumn="0" w:lastRow="0" w:noHBand="0" w:noVBand="1" w:val="04A0"/>
      </w:tblPr>
      <w:tblGrid>
        <w:gridCol w:w="3099"/>
        <w:gridCol w:w="3099"/>
        <w:gridCol w:w="3099"/>
      </w:tblGrid>
      <w:tr>
        <w:tc>
          <w:tcPr>
            <w:tcW w:type="dxa" w:w="1984"/>
            <w:vAlign w:val="center"/>
            <w:tcBorders>
              <w:left w:val="none" w:sz="0" w:space="0"/>
              <w:right w:val="none" w:sz="0" w:space="0"/>
              <w:top w:val="single" w:sz="8" w:space="0"/>
              <w:bottom w:val="single" w:sz="4" w:space="0"/>
            </w:tcBorders>
          </w:tcPr>
          <w:p>
            <w:pPr>
              <w:spacing w:line="276" w:lineRule="auto" w:before="0" w:after="0"/>
              <w:ind w:firstLine="0"/>
              <w:jc w:val="center"/>
            </w:pPr>
            <w:r/>
            <w:r>
              <w:rPr>
                <w:rFonts w:ascii="Times New Roman" w:hAnsi="Times New Roman" w:eastAsia="宋体"/>
                <w:b w:val="0"/>
                <w:sz w:val="20"/>
              </w:rPr>
              <w:t>配置项</w:t>
            </w:r>
          </w:p>
        </w:tc>
        <w:tc>
          <w:tcPr>
            <w:tcW w:type="dxa" w:w="3118"/>
            <w:vAlign w:val="center"/>
            <w:tcBorders>
              <w:left w:val="none" w:sz="0" w:space="0"/>
              <w:right w:val="none" w:sz="0" w:space="0"/>
              <w:top w:val="single" w:sz="8" w:space="0"/>
              <w:bottom w:val="single" w:sz="4" w:space="0"/>
            </w:tcBorders>
          </w:tcPr>
          <w:p>
            <w:pPr>
              <w:spacing w:line="276" w:lineRule="auto" w:before="0" w:after="0"/>
              <w:ind w:firstLine="0"/>
              <w:jc w:val="center"/>
            </w:pPr>
            <w:r/>
            <w:r>
              <w:rPr>
                <w:rFonts w:ascii="Times New Roman" w:hAnsi="Times New Roman" w:eastAsia="宋体"/>
                <w:b w:val="0"/>
                <w:sz w:val="20"/>
              </w:rPr>
              <w:t>CGAN基线</w:t>
            </w:r>
          </w:p>
        </w:tc>
        <w:tc>
          <w:tcPr>
            <w:tcW w:type="dxa" w:w="3685"/>
            <w:vAlign w:val="center"/>
            <w:tcBorders>
              <w:left w:val="none" w:sz="0" w:space="0"/>
              <w:right w:val="none" w:sz="0" w:space="0"/>
              <w:top w:val="single" w:sz="8" w:space="0"/>
              <w:bottom w:val="single" w:sz="4" w:space="0"/>
            </w:tcBorders>
          </w:tcPr>
          <w:p>
            <w:pPr>
              <w:spacing w:line="276" w:lineRule="auto" w:before="0" w:after="0"/>
              <w:ind w:firstLine="0"/>
              <w:jc w:val="center"/>
            </w:pPr>
            <w:r/>
            <w:r>
              <w:rPr>
                <w:rFonts w:ascii="Times New Roman" w:hAnsi="Times New Roman" w:eastAsia="宋体"/>
                <w:b w:val="0"/>
                <w:sz w:val="20"/>
              </w:rPr>
              <w:t>条件扩散模型</w:t>
            </w:r>
          </w:p>
        </w:tc>
      </w:tr>
      <w:tr>
        <w:tc>
          <w:tcPr>
            <w:tcW w:type="dxa" w:w="198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目标函数</w:t>
            </w:r>
          </w:p>
        </w:tc>
        <w:tc>
          <w:tcPr>
            <w:tcW w:type="dxa" w:w="3118"/>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WGAN-GP对抗损失（λGP=10）</w:t>
            </w:r>
          </w:p>
        </w:tc>
        <w:tc>
          <w:tcPr>
            <w:tcW w:type="dxa" w:w="3685"/>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ε预测MSE（式(10)）</w:t>
            </w:r>
          </w:p>
        </w:tc>
      </w:tr>
      <w:tr>
        <w:tc>
          <w:tcPr>
            <w:tcW w:type="dxa" w:w="198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生成网络</w:t>
            </w:r>
          </w:p>
        </w:tc>
        <w:tc>
          <w:tcPr>
            <w:tcW w:type="dxa" w:w="3118"/>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生成器4层Conv1d（k=15）</w:t>
            </w:r>
          </w:p>
        </w:tc>
        <w:tc>
          <w:tcPr>
            <w:tcW w:type="dxa" w:w="3685"/>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1D U-Net 3级（64-128-256，k=15）</w:t>
            </w:r>
          </w:p>
        </w:tc>
      </w:tr>
      <w:tr>
        <w:tc>
          <w:tcPr>
            <w:tcW w:type="dxa" w:w="198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判别/去噪网络</w:t>
            </w:r>
          </w:p>
        </w:tc>
        <w:tc>
          <w:tcPr>
            <w:tcW w:type="dxa" w:w="3118"/>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判别器5层Conv1d stride=2（感受野435）</w:t>
            </w:r>
          </w:p>
        </w:tc>
        <w:tc>
          <w:tcPr>
            <w:tcW w:type="dxa" w:w="3685"/>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同左（单一网络，无对抗）</w:t>
            </w:r>
          </w:p>
        </w:tc>
      </w:tr>
      <w:tr>
        <w:tc>
          <w:tcPr>
            <w:tcW w:type="dxa" w:w="198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条件注入</w:t>
            </w:r>
          </w:p>
        </w:tc>
        <w:tc>
          <w:tcPr>
            <w:tcW w:type="dxa" w:w="3118"/>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常数通道拼接（单次、全局）</w:t>
            </w:r>
          </w:p>
        </w:tc>
        <w:tc>
          <w:tcPr>
            <w:tcW w:type="dxa" w:w="3685"/>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FiLM逐残差块仿射（式(14)）</w:t>
            </w:r>
          </w:p>
        </w:tc>
      </w:tr>
      <w:tr>
        <w:tc>
          <w:tcPr>
            <w:tcW w:type="dxa" w:w="198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优化器</w:t>
            </w:r>
          </w:p>
        </w:tc>
        <w:tc>
          <w:tcPr>
            <w:tcW w:type="dxa" w:w="3118"/>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Adam β=(0,0.9)</w:t>
            </w:r>
          </w:p>
        </w:tc>
        <w:tc>
          <w:tcPr>
            <w:tcW w:type="dxa" w:w="3685"/>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Adam β=(0.9,0.999)</w:t>
            </w:r>
          </w:p>
        </w:tc>
      </w:tr>
      <w:tr>
        <w:tc>
          <w:tcPr>
            <w:tcW w:type="dxa" w:w="198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学习率</w:t>
            </w:r>
          </w:p>
        </w:tc>
        <w:tc>
          <w:tcPr>
            <w:tcW w:type="dxa" w:w="3118"/>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TTUR：G 10⁻⁴ / D 3×10⁻⁴</w:t>
            </w:r>
          </w:p>
        </w:tc>
        <w:tc>
          <w:tcPr>
            <w:tcW w:type="dxa" w:w="3685"/>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2×10⁻⁴</w:t>
            </w:r>
          </w:p>
        </w:tc>
      </w:tr>
      <w:tr>
        <w:tc>
          <w:tcPr>
            <w:tcW w:type="dxa" w:w="198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批大小/训练步数</w:t>
            </w:r>
          </w:p>
        </w:tc>
        <w:tc>
          <w:tcPr>
            <w:tcW w:type="dxa" w:w="3118"/>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64 / 30000</w:t>
            </w:r>
          </w:p>
        </w:tc>
        <w:tc>
          <w:tcPr>
            <w:tcW w:type="dxa" w:w="3685"/>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64 / 30000</w:t>
            </w:r>
          </w:p>
        </w:tc>
      </w:tr>
      <w:tr>
        <w:tc>
          <w:tcPr>
            <w:tcW w:type="dxa" w:w="198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EMA衰减</w:t>
            </w:r>
          </w:p>
        </w:tc>
        <w:tc>
          <w:tcPr>
            <w:tcW w:type="dxa" w:w="3118"/>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0.999（采样一律用EMA权重）</w:t>
            </w:r>
          </w:p>
        </w:tc>
        <w:tc>
          <w:tcPr>
            <w:tcW w:type="dxa" w:w="3685"/>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0.999（同左）</w:t>
            </w:r>
          </w:p>
        </w:tc>
      </w:tr>
      <w:tr>
        <w:tc>
          <w:tcPr>
            <w:tcW w:type="dxa" w:w="198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稳定技巧</w:t>
            </w:r>
          </w:p>
        </w:tc>
        <w:tc>
          <w:tcPr>
            <w:tcW w:type="dxa" w:w="3118"/>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WGAN-GP+TTUR+EMA（+单调正则）</w:t>
            </w:r>
          </w:p>
        </w:tc>
        <w:tc>
          <w:tcPr>
            <w:tcW w:type="dxa" w:w="3685"/>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无对抗博弈；采样时x̂0裁剪门限30</w:t>
            </w:r>
          </w:p>
        </w:tc>
      </w:tr>
      <w:tr>
        <w:tc>
          <w:tcPr>
            <w:tcW w:type="dxa" w:w="1984"/>
            <w:vAlign w:val="center"/>
            <w:tcBorders>
              <w:left w:val="none" w:sz="0" w:space="0"/>
              <w:right w:val="none" w:sz="0" w:space="0"/>
              <w:top w:val="none" w:sz="6" w:space="0"/>
              <w:bottom w:val="single" w:sz="8" w:space="0"/>
            </w:tcBorders>
          </w:tcPr>
          <w:p>
            <w:pPr>
              <w:spacing w:line="276" w:lineRule="auto" w:before="0" w:after="0"/>
              <w:ind w:firstLine="0"/>
              <w:jc w:val="center"/>
            </w:pPr>
            <w:r/>
            <w:r>
              <w:rPr>
                <w:rFonts w:ascii="Times New Roman" w:hAnsi="Times New Roman" w:eastAsia="宋体"/>
                <w:b w:val="0"/>
                <w:sz w:val="20"/>
              </w:rPr>
              <w:t>采样方式</w:t>
            </w:r>
          </w:p>
        </w:tc>
        <w:tc>
          <w:tcPr>
            <w:tcW w:type="dxa" w:w="3118"/>
            <w:vAlign w:val="center"/>
            <w:tcBorders>
              <w:left w:val="none" w:sz="0" w:space="0"/>
              <w:right w:val="none" w:sz="0" w:space="0"/>
              <w:top w:val="none" w:sz="6" w:space="0"/>
              <w:bottom w:val="single" w:sz="8" w:space="0"/>
            </w:tcBorders>
          </w:tcPr>
          <w:p>
            <w:pPr>
              <w:spacing w:line="276" w:lineRule="auto" w:before="0" w:after="0"/>
              <w:ind w:firstLine="0"/>
              <w:jc w:val="center"/>
            </w:pPr>
            <w:r/>
            <w:r>
              <w:rPr>
                <w:rFonts w:ascii="Times New Roman" w:hAnsi="Times New Roman" w:eastAsia="宋体"/>
                <w:b w:val="0"/>
                <w:sz w:val="20"/>
              </w:rPr>
              <w:t>单次前向</w:t>
            </w:r>
          </w:p>
        </w:tc>
        <w:tc>
          <w:tcPr>
            <w:tcW w:type="dxa" w:w="3685"/>
            <w:vAlign w:val="center"/>
            <w:tcBorders>
              <w:left w:val="none" w:sz="0" w:space="0"/>
              <w:right w:val="none" w:sz="0" w:space="0"/>
              <w:top w:val="none" w:sz="6" w:space="0"/>
              <w:bottom w:val="single" w:sz="8" w:space="0"/>
            </w:tcBorders>
          </w:tcPr>
          <w:p>
            <w:pPr>
              <w:spacing w:line="276" w:lineRule="auto" w:before="0" w:after="0"/>
              <w:ind w:firstLine="0"/>
              <w:jc w:val="center"/>
            </w:pPr>
            <w:r/>
            <w:r>
              <w:rPr>
                <w:rFonts w:ascii="Times New Roman" w:hAnsi="Times New Roman" w:eastAsia="宋体"/>
                <w:b w:val="0"/>
                <w:sz w:val="20"/>
              </w:rPr>
              <w:t>DDPM 1000步 / DDIM 20~100步</w:t>
            </w:r>
          </w:p>
        </w:tc>
      </w:tr>
    </w:tbl>
    <w:p>
      <w:pPr>
        <w:spacing w:line="300" w:lineRule="auto" w:before="40" w:after="40"/>
        <w:ind w:firstLine="0"/>
        <w:jc w:val="left"/>
      </w:pPr>
      <w:r>
        <w:rPr>
          <w:rFonts w:ascii="Times New Roman" w:hAnsi="Times New Roman" w:eastAsia="黑体"/>
          <w:b/>
          <w:sz w:val="24"/>
        </w:rPr>
        <w:t>（四）评价体系方案</w:t>
      </w:r>
    </w:p>
    <w:p>
      <w:pPr>
        <w:spacing w:line="300" w:lineRule="auto" w:before="0" w:after="0"/>
        <w:ind w:firstLine="480"/>
        <w:jc w:val="both"/>
      </w:pPr>
      <w:r>
        <w:rPr>
          <w:rFonts w:ascii="Times New Roman" w:hAnsi="Times New Roman" w:eastAsia="宋体"/>
          <w:b w:val="0"/>
          <w:sz w:val="24"/>
        </w:rPr>
        <w:t>采用统一的三层指标库，辅以连续仰角泛化指标与工程维度指标，形成"统计保真—时序结构—系统后果—工程成本"四个层面的完整评价视角。核心指标定义如下。</w:t>
      </w:r>
    </w:p>
    <w:p>
      <w:pPr>
        <w:spacing w:line="300" w:lineRule="auto" w:before="0" w:after="0"/>
        <w:ind w:firstLine="480"/>
        <w:jc w:val="both"/>
      </w:pPr>
      <w:r>
        <w:rPr>
          <w:rFonts w:ascii="Times New Roman" w:hAnsi="Times New Roman" w:eastAsia="宋体"/>
          <w:b w:val="0"/>
          <w:sz w:val="24"/>
        </w:rPr>
        <w:t>L1静态分布：设生成样本经验CDF为F̂g、参考CDF为Fr，则KS统计量、Wasserstein-1距离与PDF的L1距离分别为</w:t>
      </w:r>
    </w:p>
    <w:p>
      <w:pPr>
        <w:spacing w:line="240" w:lineRule="auto" w:before="80" w:after="80"/>
        <w:ind w:firstLine="0"/>
        <w:jc w:val="center"/>
      </w:pPr>
      <w:r>
        <w:drawing>
          <wp:inline xmlns:a="http://schemas.openxmlformats.org/drawingml/2006/main" xmlns:pic="http://schemas.openxmlformats.org/drawingml/2006/picture">
            <wp:extent cx="4320000" cy="400424"/>
            <wp:docPr id="18" name="Picture 18"/>
            <wp:cNvGraphicFramePr>
              <a:graphicFrameLocks noChangeAspect="1"/>
            </wp:cNvGraphicFramePr>
            <a:graphic>
              <a:graphicData uri="http://schemas.openxmlformats.org/drawingml/2006/picture">
                <pic:pic>
                  <pic:nvPicPr>
                    <pic:cNvPr id="0" name="eq_15.png"/>
                    <pic:cNvPicPr/>
                  </pic:nvPicPr>
                  <pic:blipFill>
                    <a:blip r:embed="rId26"/>
                    <a:stretch>
                      <a:fillRect/>
                    </a:stretch>
                  </pic:blipFill>
                  <pic:spPr>
                    <a:xfrm>
                      <a:off x="0" y="0"/>
                      <a:ext cx="4320000" cy="400424"/>
                    </a:xfrm>
                    <a:prstGeom prst="rect"/>
                  </pic:spPr>
                </pic:pic>
              </a:graphicData>
            </a:graphic>
          </wp:inline>
        </w:drawing>
      </w:r>
    </w:p>
    <w:p>
      <w:pPr>
        <w:spacing w:line="300" w:lineRule="auto" w:before="0" w:after="0"/>
        <w:ind w:firstLine="480"/>
        <w:jc w:val="both"/>
      </w:pPr>
      <w:r>
        <w:rPr>
          <w:rFonts w:ascii="Times New Roman" w:hAnsi="Times New Roman" w:eastAsia="宋体"/>
          <w:b w:val="0"/>
          <w:sz w:val="24"/>
        </w:rPr>
        <w:t>另考察均值/标准差/偏度/峰度的相对误差。</w:t>
      </w:r>
    </w:p>
    <w:p>
      <w:pPr>
        <w:spacing w:line="300" w:lineRule="auto" w:before="0" w:after="0"/>
        <w:ind w:firstLine="480"/>
        <w:jc w:val="both"/>
      </w:pPr>
      <w:r>
        <w:rPr>
          <w:rFonts w:ascii="Times New Roman" w:hAnsi="Times New Roman" w:eastAsia="宋体"/>
          <w:b w:val="0"/>
          <w:sz w:val="24"/>
        </w:rPr>
        <w:t>L2时序特性：包络自相关函数按FFT快速算法估计，取前50个滞后点的RMSE；电平穿越率（LCR）与平均衰落持续时间（AFD）在多门限{γρ}（相对RMS电平-20~0 dB）下统计：</w:t>
      </w:r>
    </w:p>
    <w:p>
      <w:pPr>
        <w:spacing w:line="240" w:lineRule="auto" w:before="80" w:after="80"/>
        <w:ind w:firstLine="0"/>
        <w:jc w:val="center"/>
      </w:pPr>
      <w:r>
        <w:drawing>
          <wp:inline xmlns:a="http://schemas.openxmlformats.org/drawingml/2006/main" xmlns:pic="http://schemas.openxmlformats.org/drawingml/2006/picture">
            <wp:extent cx="4320000" cy="498814"/>
            <wp:docPr id="19" name="Picture 19"/>
            <wp:cNvGraphicFramePr>
              <a:graphicFrameLocks noChangeAspect="1"/>
            </wp:cNvGraphicFramePr>
            <a:graphic>
              <a:graphicData uri="http://schemas.openxmlformats.org/drawingml/2006/picture">
                <pic:pic>
                  <pic:nvPicPr>
                    <pic:cNvPr id="0" name="eq_16.png"/>
                    <pic:cNvPicPr/>
                  </pic:nvPicPr>
                  <pic:blipFill>
                    <a:blip r:embed="rId27"/>
                    <a:stretch>
                      <a:fillRect/>
                    </a:stretch>
                  </pic:blipFill>
                  <pic:spPr>
                    <a:xfrm>
                      <a:off x="0" y="0"/>
                      <a:ext cx="4320000" cy="498814"/>
                    </a:xfrm>
                    <a:prstGeom prst="rect"/>
                  </pic:spPr>
                </pic:pic>
              </a:graphicData>
            </a:graphic>
          </wp:inline>
        </w:drawing>
      </w:r>
    </w:p>
    <w:p>
      <w:pPr>
        <w:spacing w:line="300" w:lineRule="auto" w:before="0" w:after="0"/>
        <w:ind w:firstLine="480"/>
        <w:jc w:val="both"/>
      </w:pPr>
      <w:r>
        <w:rPr>
          <w:rFonts w:ascii="Times New Roman" w:hAnsi="Times New Roman" w:eastAsia="宋体"/>
          <w:b w:val="0"/>
          <w:sz w:val="24"/>
        </w:rPr>
        <w:t>指标取多门限下相对RMSE。LCR/AFD属稀有事件计数统计，其相对统计误差随样本量按1/√N标度，需大样本支撑（见八(3)）。</w:t>
      </w:r>
    </w:p>
    <w:p>
      <w:pPr>
        <w:spacing w:line="300" w:lineRule="auto" w:before="0" w:after="0"/>
        <w:ind w:firstLine="480"/>
        <w:jc w:val="both"/>
      </w:pPr>
      <w:r>
        <w:rPr>
          <w:rFonts w:ascii="Times New Roman" w:hAnsi="Times New Roman" w:eastAsia="宋体"/>
          <w:b w:val="0"/>
          <w:sz w:val="24"/>
        </w:rPr>
        <w:t>L3系统性能：对生成包络序列按QPSK调制、加性高斯白噪声假设计算BER曲线（Eb/N0∈[0,34] dB），以log10域RMSE度量：</w:t>
      </w:r>
    </w:p>
    <w:p>
      <w:pPr>
        <w:spacing w:line="240" w:lineRule="auto" w:before="80" w:after="80"/>
        <w:ind w:firstLine="0"/>
        <w:jc w:val="center"/>
      </w:pPr>
      <w:r>
        <w:drawing>
          <wp:inline xmlns:a="http://schemas.openxmlformats.org/drawingml/2006/main" xmlns:pic="http://schemas.openxmlformats.org/drawingml/2006/picture">
            <wp:extent cx="3600000" cy="318432"/>
            <wp:docPr id="20" name="Picture 20"/>
            <wp:cNvGraphicFramePr>
              <a:graphicFrameLocks noChangeAspect="1"/>
            </wp:cNvGraphicFramePr>
            <a:graphic>
              <a:graphicData uri="http://schemas.openxmlformats.org/drawingml/2006/picture">
                <pic:pic>
                  <pic:nvPicPr>
                    <pic:cNvPr id="0" name="eq_17.png"/>
                    <pic:cNvPicPr/>
                  </pic:nvPicPr>
                  <pic:blipFill>
                    <a:blip r:embed="rId28"/>
                    <a:stretch>
                      <a:fillRect/>
                    </a:stretch>
                  </pic:blipFill>
                  <pic:spPr>
                    <a:xfrm>
                      <a:off x="0" y="0"/>
                      <a:ext cx="3600000" cy="318432"/>
                    </a:xfrm>
                    <a:prstGeom prst="rect"/>
                  </pic:spPr>
                </pic:pic>
              </a:graphicData>
            </a:graphic>
          </wp:inline>
        </w:drawing>
      </w:r>
    </w:p>
    <w:p>
      <w:pPr>
        <w:spacing w:line="300" w:lineRule="auto" w:before="0" w:after="0"/>
        <w:ind w:firstLine="480"/>
        <w:jc w:val="both"/>
      </w:pPr>
      <w:r>
        <w:rPr>
          <w:rFonts w:ascii="Times New Roman" w:hAnsi="Times New Roman" w:eastAsia="宋体"/>
          <w:b w:val="0"/>
          <w:sz w:val="24"/>
        </w:rPr>
        <w:t>泛化与工程指标：KL散度DKL(pr‖pg)、JS散度度量分布泛化；Spearman秩相关ρs（仰角-包络均值单调性）度量条件泛化；训练稳定性（损失曲线形态）、收敛轮数、参数量、采样吞吐与延迟构成工程维度。</w:t>
      </w:r>
    </w:p>
    <w:p>
      <w:pPr>
        <w:spacing w:line="300" w:lineRule="auto" w:before="0" w:after="0"/>
        <w:ind w:firstLine="480"/>
        <w:jc w:val="both"/>
      </w:pPr>
      <w:r>
        <w:rPr>
          <w:rFonts w:ascii="Times New Roman" w:hAnsi="Times New Roman" w:eastAsia="宋体"/>
          <w:b w:val="0"/>
          <w:sz w:val="24"/>
        </w:rPr>
        <w:t>指标库验收线见表3（合格线为验收要求，优秀线为目标水平）。指标库配套阴性/阳性对照回归测试：以刻意劣化的伪样本验证指标能灵敏反映缺陷（阳性），以参考数据自比对验证指标不误报（阴性），接口冻结后任何变更须重跑全量回归测试并登记。</w:t>
      </w:r>
    </w:p>
    <w:p>
      <w:pPr>
        <w:spacing w:line="300" w:lineRule="auto" w:before="120" w:after="40"/>
        <w:ind w:firstLine="0"/>
        <w:jc w:val="center"/>
      </w:pPr>
      <w:r>
        <w:rPr>
          <w:rFonts w:ascii="Times New Roman" w:hAnsi="Times New Roman" w:eastAsia="宋体"/>
          <w:b w:val="0"/>
          <w:sz w:val="21"/>
        </w:rPr>
        <w:t>表3  三层评价指标与验收线</w:t>
      </w:r>
    </w:p>
    <w:tbl>
      <w:tblPr>
        <w:tblW w:type="auto" w:w="0"/>
        <w:jc w:val="center"/>
        <w:tblLook w:firstColumn="1" w:firstRow="1" w:lastColumn="0" w:lastRow="0" w:noHBand="0" w:noVBand="1" w:val="04A0"/>
      </w:tblPr>
      <w:tblGrid>
        <w:gridCol w:w="2324"/>
        <w:gridCol w:w="2324"/>
        <w:gridCol w:w="2324"/>
        <w:gridCol w:w="2324"/>
      </w:tblGrid>
      <w:tr>
        <w:tc>
          <w:tcPr>
            <w:tcW w:type="dxa" w:w="1701"/>
            <w:vAlign w:val="center"/>
            <w:tcBorders>
              <w:left w:val="none" w:sz="0" w:space="0"/>
              <w:right w:val="none" w:sz="0" w:space="0"/>
              <w:top w:val="single" w:sz="8" w:space="0"/>
              <w:bottom w:val="single" w:sz="4" w:space="0"/>
            </w:tcBorders>
          </w:tcPr>
          <w:p>
            <w:pPr>
              <w:spacing w:line="276" w:lineRule="auto" w:before="0" w:after="0"/>
              <w:ind w:firstLine="0"/>
              <w:jc w:val="center"/>
            </w:pPr>
            <w:r/>
            <w:r>
              <w:rPr>
                <w:rFonts w:ascii="Times New Roman" w:hAnsi="Times New Roman" w:eastAsia="宋体"/>
                <w:b w:val="0"/>
                <w:sz w:val="20"/>
              </w:rPr>
              <w:t>层级</w:t>
            </w:r>
          </w:p>
        </w:tc>
        <w:tc>
          <w:tcPr>
            <w:tcW w:type="dxa" w:w="2835"/>
            <w:vAlign w:val="center"/>
            <w:tcBorders>
              <w:left w:val="none" w:sz="0" w:space="0"/>
              <w:right w:val="none" w:sz="0" w:space="0"/>
              <w:top w:val="single" w:sz="8" w:space="0"/>
              <w:bottom w:val="single" w:sz="4" w:space="0"/>
            </w:tcBorders>
          </w:tcPr>
          <w:p>
            <w:pPr>
              <w:spacing w:line="276" w:lineRule="auto" w:before="0" w:after="0"/>
              <w:ind w:firstLine="0"/>
              <w:jc w:val="center"/>
            </w:pPr>
            <w:r/>
            <w:r>
              <w:rPr>
                <w:rFonts w:ascii="Times New Roman" w:hAnsi="Times New Roman" w:eastAsia="宋体"/>
                <w:b w:val="0"/>
                <w:sz w:val="20"/>
              </w:rPr>
              <w:t>指标</w:t>
            </w:r>
          </w:p>
        </w:tc>
        <w:tc>
          <w:tcPr>
            <w:tcW w:type="dxa" w:w="1984"/>
            <w:vAlign w:val="center"/>
            <w:tcBorders>
              <w:left w:val="none" w:sz="0" w:space="0"/>
              <w:right w:val="none" w:sz="0" w:space="0"/>
              <w:top w:val="single" w:sz="8" w:space="0"/>
              <w:bottom w:val="single" w:sz="4" w:space="0"/>
            </w:tcBorders>
          </w:tcPr>
          <w:p>
            <w:pPr>
              <w:spacing w:line="276" w:lineRule="auto" w:before="0" w:after="0"/>
              <w:ind w:firstLine="0"/>
              <w:jc w:val="center"/>
            </w:pPr>
            <w:r/>
            <w:r>
              <w:rPr>
                <w:rFonts w:ascii="Times New Roman" w:hAnsi="Times New Roman" w:eastAsia="宋体"/>
                <w:b w:val="0"/>
                <w:sz w:val="20"/>
              </w:rPr>
              <w:t>合格线</w:t>
            </w:r>
          </w:p>
        </w:tc>
        <w:tc>
          <w:tcPr>
            <w:tcW w:type="dxa" w:w="1984"/>
            <w:vAlign w:val="center"/>
            <w:tcBorders>
              <w:left w:val="none" w:sz="0" w:space="0"/>
              <w:right w:val="none" w:sz="0" w:space="0"/>
              <w:top w:val="single" w:sz="8" w:space="0"/>
              <w:bottom w:val="single" w:sz="4" w:space="0"/>
            </w:tcBorders>
          </w:tcPr>
          <w:p>
            <w:pPr>
              <w:spacing w:line="276" w:lineRule="auto" w:before="0" w:after="0"/>
              <w:ind w:firstLine="0"/>
              <w:jc w:val="center"/>
            </w:pPr>
            <w:r/>
            <w:r>
              <w:rPr>
                <w:rFonts w:ascii="Times New Roman" w:hAnsi="Times New Roman" w:eastAsia="宋体"/>
                <w:b w:val="0"/>
                <w:sz w:val="20"/>
              </w:rPr>
              <w:t>优秀线</w:t>
            </w:r>
          </w:p>
        </w:tc>
      </w:tr>
      <w:tr>
        <w:tc>
          <w:tcPr>
            <w:tcW w:type="dxa" w:w="1701"/>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L1静态分布</w:t>
            </w:r>
          </w:p>
        </w:tc>
        <w:tc>
          <w:tcPr>
            <w:tcW w:type="dxa" w:w="2835"/>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KS统计量</w:t>
            </w:r>
          </w:p>
        </w:tc>
        <w:tc>
          <w:tcPr>
            <w:tcW w:type="dxa" w:w="198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&lt;0.07</w:t>
            </w:r>
          </w:p>
        </w:tc>
        <w:tc>
          <w:tcPr>
            <w:tcW w:type="dxa" w:w="198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&lt;0.02</w:t>
            </w:r>
          </w:p>
        </w:tc>
      </w:tr>
      <w:tr>
        <w:tc>
          <w:tcPr>
            <w:tcW w:type="dxa" w:w="1701"/>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r>
          </w:p>
        </w:tc>
        <w:tc>
          <w:tcPr>
            <w:tcW w:type="dxa" w:w="2835"/>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PDF L1距离</w:t>
            </w:r>
          </w:p>
        </w:tc>
        <w:tc>
          <w:tcPr>
            <w:tcW w:type="dxa" w:w="198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&lt;0.15</w:t>
            </w:r>
          </w:p>
        </w:tc>
        <w:tc>
          <w:tcPr>
            <w:tcW w:type="dxa" w:w="198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&lt;0.05</w:t>
            </w:r>
          </w:p>
        </w:tc>
      </w:tr>
      <w:tr>
        <w:tc>
          <w:tcPr>
            <w:tcW w:type="dxa" w:w="1701"/>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r>
          </w:p>
        </w:tc>
        <w:tc>
          <w:tcPr>
            <w:tcW w:type="dxa" w:w="2835"/>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Wasserstein距离</w:t>
            </w:r>
          </w:p>
        </w:tc>
        <w:tc>
          <w:tcPr>
            <w:tcW w:type="dxa" w:w="198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&lt;0.05</w:t>
            </w:r>
          </w:p>
        </w:tc>
        <w:tc>
          <w:tcPr>
            <w:tcW w:type="dxa" w:w="198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&lt;0.015</w:t>
            </w:r>
          </w:p>
        </w:tc>
      </w:tr>
      <w:tr>
        <w:tc>
          <w:tcPr>
            <w:tcW w:type="dxa" w:w="1701"/>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r>
          </w:p>
        </w:tc>
        <w:tc>
          <w:tcPr>
            <w:tcW w:type="dxa" w:w="2835"/>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矩相对误差（均值/标准差）</w:t>
            </w:r>
          </w:p>
        </w:tc>
        <w:tc>
          <w:tcPr>
            <w:tcW w:type="dxa" w:w="198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&lt;0.08</w:t>
            </w:r>
          </w:p>
        </w:tc>
        <w:tc>
          <w:tcPr>
            <w:tcW w:type="dxa" w:w="198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&lt;0.01</w:t>
            </w:r>
          </w:p>
        </w:tc>
      </w:tr>
      <w:tr>
        <w:tc>
          <w:tcPr>
            <w:tcW w:type="dxa" w:w="1701"/>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L2时序特性</w:t>
            </w:r>
          </w:p>
        </w:tc>
        <w:tc>
          <w:tcPr>
            <w:tcW w:type="dxa" w:w="2835"/>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ACF RMSE（前50滞后）</w:t>
            </w:r>
          </w:p>
        </w:tc>
        <w:tc>
          <w:tcPr>
            <w:tcW w:type="dxa" w:w="198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&lt;0.10</w:t>
            </w:r>
          </w:p>
        </w:tc>
        <w:tc>
          <w:tcPr>
            <w:tcW w:type="dxa" w:w="198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&lt;0.02</w:t>
            </w:r>
          </w:p>
        </w:tc>
      </w:tr>
      <w:tr>
        <w:tc>
          <w:tcPr>
            <w:tcW w:type="dxa" w:w="1701"/>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r>
          </w:p>
        </w:tc>
        <w:tc>
          <w:tcPr>
            <w:tcW w:type="dxa" w:w="2835"/>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LCR 相对RMSE</w:t>
            </w:r>
          </w:p>
        </w:tc>
        <w:tc>
          <w:tcPr>
            <w:tcW w:type="dxa" w:w="198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&lt;0.35</w:t>
            </w:r>
          </w:p>
        </w:tc>
        <w:tc>
          <w:tcPr>
            <w:tcW w:type="dxa" w:w="198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&lt;0.10</w:t>
            </w:r>
          </w:p>
        </w:tc>
      </w:tr>
      <w:tr>
        <w:tc>
          <w:tcPr>
            <w:tcW w:type="dxa" w:w="1701"/>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r>
          </w:p>
        </w:tc>
        <w:tc>
          <w:tcPr>
            <w:tcW w:type="dxa" w:w="2835"/>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AFD 相对RMSE</w:t>
            </w:r>
          </w:p>
        </w:tc>
        <w:tc>
          <w:tcPr>
            <w:tcW w:type="dxa" w:w="198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&lt;1.0</w:t>
            </w:r>
          </w:p>
        </w:tc>
        <w:tc>
          <w:tcPr>
            <w:tcW w:type="dxa" w:w="198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&lt;0.15</w:t>
            </w:r>
          </w:p>
        </w:tc>
      </w:tr>
      <w:tr>
        <w:tc>
          <w:tcPr>
            <w:tcW w:type="dxa" w:w="1701"/>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L3系统性能</w:t>
            </w:r>
          </w:p>
        </w:tc>
        <w:tc>
          <w:tcPr>
            <w:tcW w:type="dxa" w:w="2835"/>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BER曲线log10域RMSE</w:t>
            </w:r>
          </w:p>
        </w:tc>
        <w:tc>
          <w:tcPr>
            <w:tcW w:type="dxa" w:w="198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&lt;0.15</w:t>
            </w:r>
          </w:p>
        </w:tc>
        <w:tc>
          <w:tcPr>
            <w:tcW w:type="dxa" w:w="198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&lt;0.03</w:t>
            </w:r>
          </w:p>
        </w:tc>
      </w:tr>
      <w:tr>
        <w:tc>
          <w:tcPr>
            <w:tcW w:type="dxa" w:w="1701"/>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泛化</w:t>
            </w:r>
          </w:p>
        </w:tc>
        <w:tc>
          <w:tcPr>
            <w:tcW w:type="dxa" w:w="2835"/>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Spearman ρs</w:t>
            </w:r>
          </w:p>
        </w:tc>
        <w:tc>
          <w:tcPr>
            <w:tcW w:type="dxa" w:w="198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&gt;0.99</w:t>
            </w:r>
          </w:p>
        </w:tc>
        <w:tc>
          <w:tcPr>
            <w:tcW w:type="dxa" w:w="198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&gt;0.999</w:t>
            </w:r>
          </w:p>
        </w:tc>
      </w:tr>
      <w:tr>
        <w:tc>
          <w:tcPr>
            <w:tcW w:type="dxa" w:w="1701"/>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r>
          </w:p>
        </w:tc>
        <w:tc>
          <w:tcPr>
            <w:tcW w:type="dxa" w:w="2835"/>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KL / JS散度</w:t>
            </w:r>
          </w:p>
        </w:tc>
        <w:tc>
          <w:tcPr>
            <w:tcW w:type="dxa" w:w="198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&lt;0.02 / &lt;0.005</w:t>
            </w:r>
          </w:p>
        </w:tc>
        <w:tc>
          <w:tcPr>
            <w:tcW w:type="dxa" w:w="198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&lt;0.001 / &lt;10⁻⁴</w:t>
            </w:r>
          </w:p>
        </w:tc>
      </w:tr>
      <w:tr>
        <w:tc>
          <w:tcPr>
            <w:tcW w:type="dxa" w:w="1701"/>
            <w:vAlign w:val="center"/>
            <w:tcBorders>
              <w:left w:val="none" w:sz="0" w:space="0"/>
              <w:right w:val="none" w:sz="0" w:space="0"/>
              <w:top w:val="none" w:sz="6" w:space="0"/>
              <w:bottom w:val="single" w:sz="8" w:space="0"/>
            </w:tcBorders>
          </w:tcPr>
          <w:p>
            <w:pPr>
              <w:spacing w:line="276" w:lineRule="auto" w:before="0" w:after="0"/>
              <w:ind w:firstLine="0"/>
              <w:jc w:val="center"/>
            </w:pPr>
            <w:r/>
            <w:r>
              <w:rPr>
                <w:rFonts w:ascii="Times New Roman" w:hAnsi="Times New Roman" w:eastAsia="宋体"/>
                <w:b w:val="0"/>
                <w:sz w:val="20"/>
              </w:rPr>
              <w:t>工程</w:t>
            </w:r>
          </w:p>
        </w:tc>
        <w:tc>
          <w:tcPr>
            <w:tcW w:type="dxa" w:w="2835"/>
            <w:vAlign w:val="center"/>
            <w:tcBorders>
              <w:left w:val="none" w:sz="0" w:space="0"/>
              <w:right w:val="none" w:sz="0" w:space="0"/>
              <w:top w:val="none" w:sz="6" w:space="0"/>
              <w:bottom w:val="single" w:sz="8" w:space="0"/>
            </w:tcBorders>
          </w:tcPr>
          <w:p>
            <w:pPr>
              <w:spacing w:line="276" w:lineRule="auto" w:before="0" w:after="0"/>
              <w:ind w:firstLine="0"/>
              <w:jc w:val="center"/>
            </w:pPr>
            <w:r/>
            <w:r>
              <w:rPr>
                <w:rFonts w:ascii="Times New Roman" w:hAnsi="Times New Roman" w:eastAsia="宋体"/>
                <w:b w:val="0"/>
                <w:sz w:val="20"/>
              </w:rPr>
              <w:t>吞吐/延迟/参数量/训练稳定性</w:t>
            </w:r>
          </w:p>
        </w:tc>
        <w:tc>
          <w:tcPr>
            <w:tcW w:type="dxa" w:w="1984"/>
            <w:vAlign w:val="center"/>
            <w:tcBorders>
              <w:left w:val="none" w:sz="0" w:space="0"/>
              <w:right w:val="none" w:sz="0" w:space="0"/>
              <w:top w:val="none" w:sz="6" w:space="0"/>
              <w:bottom w:val="single" w:sz="8" w:space="0"/>
            </w:tcBorders>
          </w:tcPr>
          <w:p>
            <w:pPr>
              <w:spacing w:line="276" w:lineRule="auto" w:before="0" w:after="0"/>
              <w:ind w:firstLine="0"/>
              <w:jc w:val="center"/>
            </w:pPr>
            <w:r/>
            <w:r>
              <w:rPr>
                <w:rFonts w:ascii="Times New Roman" w:hAnsi="Times New Roman" w:eastAsia="宋体"/>
                <w:b w:val="0"/>
                <w:sz w:val="20"/>
              </w:rPr>
              <w:t>记录对比</w:t>
            </w:r>
          </w:p>
        </w:tc>
        <w:tc>
          <w:tcPr>
            <w:tcW w:type="dxa" w:w="1984"/>
            <w:vAlign w:val="center"/>
            <w:tcBorders>
              <w:left w:val="none" w:sz="0" w:space="0"/>
              <w:right w:val="none" w:sz="0" w:space="0"/>
              <w:top w:val="none" w:sz="6" w:space="0"/>
              <w:bottom w:val="single" w:sz="8" w:space="0"/>
            </w:tcBorders>
          </w:tcPr>
          <w:p>
            <w:pPr>
              <w:spacing w:line="276" w:lineRule="auto" w:before="0" w:after="0"/>
              <w:ind w:firstLine="0"/>
              <w:jc w:val="center"/>
            </w:pPr>
            <w:r/>
            <w:r>
              <w:rPr>
                <w:rFonts w:ascii="Times New Roman" w:hAnsi="Times New Roman" w:eastAsia="宋体"/>
                <w:b w:val="0"/>
                <w:sz w:val="20"/>
              </w:rPr>
              <w:t>记录对比</w:t>
            </w:r>
          </w:p>
        </w:tc>
      </w:tr>
    </w:tbl>
    <w:p>
      <w:pPr>
        <w:spacing w:line="300" w:lineRule="auto" w:before="40" w:after="40"/>
        <w:ind w:firstLine="0"/>
        <w:jc w:val="left"/>
      </w:pPr>
      <w:r>
        <w:rPr>
          <w:rFonts w:ascii="Times New Roman" w:hAnsi="Times New Roman" w:eastAsia="黑体"/>
          <w:b/>
          <w:sz w:val="24"/>
        </w:rPr>
        <w:t>（五）公平性保障与实验流程</w:t>
      </w:r>
    </w:p>
    <w:p>
      <w:pPr>
        <w:spacing w:line="300" w:lineRule="auto" w:before="0" w:after="0"/>
        <w:ind w:firstLine="480"/>
        <w:jc w:val="both"/>
      </w:pPr>
      <w:r>
        <w:rPr>
          <w:rFonts w:ascii="Times New Roman" w:hAnsi="Times New Roman" w:eastAsia="宋体"/>
          <w:b w:val="0"/>
          <w:sz w:val="24"/>
        </w:rPr>
        <w:t>公平性保障措施（控制变量设计）：两模型使用同一冻结训练集、同一评价代码与统一的随机种子管理约定（numpy/torch/CUDA全种子固定+cuDNN确定性模式）；所有指标接口一经冻结，任何变更须重跑全量回归测试并登记，确保对比结论仅反映模型本身差异而非实验口径差异。</w:t>
      </w:r>
    </w:p>
    <w:p>
      <w:pPr>
        <w:spacing w:line="300" w:lineRule="auto" w:before="0" w:after="0"/>
        <w:ind w:firstLine="480"/>
        <w:jc w:val="both"/>
      </w:pPr>
      <w:r>
        <w:rPr>
          <w:rFonts w:ascii="Times New Roman" w:hAnsi="Times New Roman" w:eastAsia="宋体"/>
          <w:b w:val="0"/>
          <w:sz w:val="24"/>
        </w:rPr>
        <w:t>实验实施流程分为八个阶段：①训练集生成与冻结；②指标库自检；③CGAN训练与逐仰角验收；④条件扩散模型训练；⑤7个测试仰角逐点评测；⑥连续仰角泛化测试；⑦跨数据源稳健性检验；⑧对比分析与结论提炼。其中阶段①~③已于前期工作中完成，正式研究自阶段④开始。</w:t>
      </w:r>
    </w:p>
    <w:p>
      <w:pPr>
        <w:spacing w:line="300" w:lineRule="auto" w:before="80" w:after="80"/>
        <w:ind w:firstLine="0"/>
        <w:jc w:val="left"/>
      </w:pPr>
      <w:r>
        <w:rPr>
          <w:rFonts w:ascii="Times New Roman" w:hAnsi="Times New Roman" w:eastAsia="黑体"/>
          <w:b/>
          <w:sz w:val="28"/>
        </w:rPr>
        <w:t>5．进度安排，预期达到的目标</w:t>
      </w:r>
    </w:p>
    <w:p>
      <w:pPr>
        <w:spacing w:line="300" w:lineRule="auto" w:before="40" w:after="40"/>
        <w:ind w:firstLine="0"/>
        <w:jc w:val="left"/>
      </w:pPr>
      <w:r>
        <w:rPr>
          <w:rFonts w:ascii="Times New Roman" w:hAnsi="Times New Roman" w:eastAsia="黑体"/>
          <w:b/>
          <w:sz w:val="24"/>
        </w:rPr>
        <w:t>（一）前期工作基础与初步仿真结果</w:t>
      </w:r>
    </w:p>
    <w:p>
      <w:pPr>
        <w:spacing w:line="300" w:lineRule="auto" w:before="40" w:after="40"/>
        <w:ind w:firstLine="0"/>
        <w:jc w:val="left"/>
      </w:pPr>
      <w:r>
        <w:rPr>
          <w:rFonts w:ascii="Times New Roman" w:hAnsi="Times New Roman" w:eastAsia="黑体"/>
          <w:b/>
          <w:sz w:val="24"/>
        </w:rPr>
        <w:t>1. 已完成工作概述</w:t>
      </w:r>
    </w:p>
    <w:p>
      <w:pPr>
        <w:spacing w:line="300" w:lineRule="auto" w:before="0" w:after="0"/>
        <w:ind w:firstLine="480"/>
        <w:jc w:val="both"/>
      </w:pPr>
      <w:r>
        <w:rPr>
          <w:rFonts w:ascii="Times New Roman" w:hAnsi="Times New Roman" w:eastAsia="宋体"/>
          <w:b w:val="0"/>
          <w:sz w:val="24"/>
        </w:rPr>
        <w:t>开题前，本课题已按总体技术路线完成四阶段前期工作：阶段一，Corazza参考模型数据生成管线：实现式(1)–(5)参数化与时序生成机制（图2），完成10000×1000冻结数据集与全套质检；阶段二，三层评价指标库：实现表3全部指标并通过阴性/阳性对照回归测试；阶段三，CGAN基线复现：按文献[1]超参数（表2）完成训练与7仰角逐点验收；阶段四，条件扩散模型初步实现：完成训练与DDIM/DDPM多配置采样评估。以下汇报各阶段关键结果与初步分析。</w:t>
      </w:r>
    </w:p>
    <w:p>
      <w:pPr>
        <w:spacing w:line="300" w:lineRule="auto" w:before="40" w:after="40"/>
        <w:ind w:firstLine="0"/>
        <w:jc w:val="left"/>
      </w:pPr>
      <w:r>
        <w:rPr>
          <w:rFonts w:ascii="Times New Roman" w:hAnsi="Times New Roman" w:eastAsia="黑体"/>
          <w:b/>
          <w:sz w:val="24"/>
        </w:rPr>
        <w:t>2. 参考数据管线质检结果</w:t>
      </w:r>
    </w:p>
    <w:p>
      <w:pPr>
        <w:spacing w:line="300" w:lineRule="auto" w:before="0" w:after="0"/>
        <w:ind w:firstLine="480"/>
        <w:jc w:val="both"/>
      </w:pPr>
      <w:r>
        <w:rPr>
          <w:rFonts w:ascii="Times New Roman" w:hAnsi="Times New Roman" w:eastAsia="宋体"/>
          <w:b w:val="0"/>
          <w:sz w:val="24"/>
        </w:rPr>
        <w:t>图6给出不同仰角下生成样本的包络PDF与CDF和理论值（式(1)数值积分）的对比：两者在高仰角与低仰角均高度吻合，验证了采样实现的统计正确性。图7展示数据集中不同仰角的包络时序片段：低仰角（20°）衰落深、起伏大，高仰角（80°）包络稳定且集中，符合Corazza模型的物理规律（式(3)–(5)）。</w:t>
      </w:r>
    </w:p>
    <w:p>
      <w:pPr>
        <w:spacing w:line="240" w:lineRule="auto" w:before="120" w:after="40"/>
        <w:ind w:firstLine="0"/>
        <w:jc w:val="center"/>
      </w:pPr>
      <w:r>
        <w:drawing>
          <wp:inline xmlns:a="http://schemas.openxmlformats.org/drawingml/2006/main" xmlns:pic="http://schemas.openxmlformats.org/drawingml/2006/picture">
            <wp:extent cx="2700000" cy="1963636"/>
            <wp:docPr id="21" name="Picture 21"/>
            <wp:cNvGraphicFramePr>
              <a:graphicFrameLocks noChangeAspect="1"/>
            </wp:cNvGraphicFramePr>
            <a:graphic>
              <a:graphicData uri="http://schemas.openxmlformats.org/drawingml/2006/picture">
                <pic:pic>
                  <pic:nvPicPr>
                    <pic:cNvPr id="0" name="corazza_pdf.png"/>
                    <pic:cNvPicPr/>
                  </pic:nvPicPr>
                  <pic:blipFill>
                    <a:blip r:embed="rId29"/>
                    <a:stretch>
                      <a:fillRect/>
                    </a:stretch>
                  </pic:blipFill>
                  <pic:spPr>
                    <a:xfrm>
                      <a:off x="0" y="0"/>
                      <a:ext cx="2700000" cy="1963636"/>
                    </a:xfrm>
                    <a:prstGeom prst="rect"/>
                  </pic:spPr>
                </pic:pic>
              </a:graphicData>
            </a:graphic>
          </wp:inline>
        </w:drawing>
        <w:drawing>
          <wp:inline xmlns:a="http://schemas.openxmlformats.org/drawingml/2006/main" xmlns:pic="http://schemas.openxmlformats.org/drawingml/2006/picture">
            <wp:extent cx="2700000" cy="1963636"/>
            <wp:docPr id="22" name="Picture 22"/>
            <wp:cNvGraphicFramePr>
              <a:graphicFrameLocks noChangeAspect="1"/>
            </wp:cNvGraphicFramePr>
            <a:graphic>
              <a:graphicData uri="http://schemas.openxmlformats.org/drawingml/2006/picture">
                <pic:pic>
                  <pic:nvPicPr>
                    <pic:cNvPr id="0" name="corazza_cdf.png"/>
                    <pic:cNvPicPr/>
                  </pic:nvPicPr>
                  <pic:blipFill>
                    <a:blip r:embed="rId30"/>
                    <a:stretch>
                      <a:fillRect/>
                    </a:stretch>
                  </pic:blipFill>
                  <pic:spPr>
                    <a:xfrm>
                      <a:off x="0" y="0"/>
                      <a:ext cx="2700000" cy="1963636"/>
                    </a:xfrm>
                    <a:prstGeom prst="rect"/>
                  </pic:spPr>
                </pic:pic>
              </a:graphicData>
            </a:graphic>
          </wp:inline>
        </w:drawing>
      </w:r>
    </w:p>
    <w:p>
      <w:pPr>
        <w:spacing w:line="300" w:lineRule="auto" w:before="0" w:after="120"/>
        <w:ind w:firstLine="0"/>
        <w:jc w:val="center"/>
      </w:pPr>
      <w:r>
        <w:rPr>
          <w:rFonts w:ascii="Times New Roman" w:hAnsi="Times New Roman" w:eastAsia="宋体"/>
          <w:b w:val="0"/>
          <w:sz w:val="21"/>
        </w:rPr>
        <w:t>图6  参考数据质检：不同仰角包络分布与理论对比。(a) PDF：直方图vs理论曲线；(b) CDF：仿真vs理论数值积分</w:t>
      </w:r>
    </w:p>
    <w:p>
      <w:pPr>
        <w:spacing w:line="240" w:lineRule="auto" w:before="120" w:after="40"/>
        <w:ind w:firstLine="0"/>
        <w:jc w:val="center"/>
      </w:pPr>
      <w:r>
        <w:drawing>
          <wp:inline xmlns:a="http://schemas.openxmlformats.org/drawingml/2006/main" xmlns:pic="http://schemas.openxmlformats.org/drawingml/2006/picture">
            <wp:extent cx="4320000" cy="3456000"/>
            <wp:docPr id="23" name="Picture 23"/>
            <wp:cNvGraphicFramePr>
              <a:graphicFrameLocks noChangeAspect="1"/>
            </wp:cNvGraphicFramePr>
            <a:graphic>
              <a:graphicData uri="http://schemas.openxmlformats.org/drawingml/2006/picture">
                <pic:pic>
                  <pic:nvPicPr>
                    <pic:cNvPr id="0" name="dataset_samples.png"/>
                    <pic:cNvPicPr/>
                  </pic:nvPicPr>
                  <pic:blipFill>
                    <a:blip r:embed="rId31"/>
                    <a:stretch>
                      <a:fillRect/>
                    </a:stretch>
                  </pic:blipFill>
                  <pic:spPr>
                    <a:xfrm>
                      <a:off x="0" y="0"/>
                      <a:ext cx="4320000" cy="3456000"/>
                    </a:xfrm>
                    <a:prstGeom prst="rect"/>
                  </pic:spPr>
                </pic:pic>
              </a:graphicData>
            </a:graphic>
          </wp:inline>
        </w:drawing>
      </w:r>
    </w:p>
    <w:p>
      <w:pPr>
        <w:spacing w:line="300" w:lineRule="auto" w:before="0" w:after="120"/>
        <w:ind w:firstLine="0"/>
        <w:jc w:val="center"/>
      </w:pPr>
      <w:r>
        <w:rPr>
          <w:rFonts w:ascii="Times New Roman" w:hAnsi="Times New Roman" w:eastAsia="宋体"/>
          <w:b w:val="0"/>
          <w:sz w:val="21"/>
        </w:rPr>
        <w:t>图7  冻结数据集样本示例：不同仰角的包络时序片段</w:t>
      </w:r>
    </w:p>
    <w:p>
      <w:pPr>
        <w:spacing w:line="300" w:lineRule="auto" w:before="40" w:after="40"/>
        <w:ind w:firstLine="0"/>
        <w:jc w:val="left"/>
      </w:pPr>
      <w:r>
        <w:rPr>
          <w:rFonts w:ascii="Times New Roman" w:hAnsi="Times New Roman" w:eastAsia="黑体"/>
          <w:b/>
          <w:sz w:val="24"/>
        </w:rPr>
        <w:t>3. CGAN基线复现结果与条件一致性诊断</w:t>
      </w:r>
    </w:p>
    <w:p>
      <w:pPr>
        <w:spacing w:line="300" w:lineRule="auto" w:before="0" w:after="0"/>
        <w:ind w:firstLine="480"/>
        <w:jc w:val="both"/>
      </w:pPr>
      <w:r>
        <w:rPr>
          <w:rFonts w:ascii="Times New Roman" w:hAnsi="Times New Roman" w:eastAsia="宋体"/>
          <w:b w:val="0"/>
          <w:sz w:val="24"/>
        </w:rPr>
        <w:t>按表2配置完成CGAN训练（30000步），训练曲线见图8：判别器损失稳定于低位、Wasserstein距离估计收敛到稳定值，训练过程整体可控，未出现模式崩溃。图9a给出代表性仰角45°的生成分布：PDF直方图与参考高度重叠，KS=0.021，分布拟合达到文献[1]同量级水平。</w:t>
      </w:r>
    </w:p>
    <w:p>
      <w:pPr>
        <w:spacing w:line="240" w:lineRule="auto" w:before="120" w:after="40"/>
        <w:ind w:firstLine="0"/>
        <w:jc w:val="center"/>
      </w:pPr>
      <w:r>
        <w:drawing>
          <wp:inline xmlns:a="http://schemas.openxmlformats.org/drawingml/2006/main" xmlns:pic="http://schemas.openxmlformats.org/drawingml/2006/picture">
            <wp:extent cx="3600000" cy="720000"/>
            <wp:docPr id="24" name="Picture 24"/>
            <wp:cNvGraphicFramePr>
              <a:graphicFrameLocks noChangeAspect="1"/>
            </wp:cNvGraphicFramePr>
            <a:graphic>
              <a:graphicData uri="http://schemas.openxmlformats.org/drawingml/2006/picture">
                <pic:pic>
                  <pic:nvPicPr>
                    <pic:cNvPr id="0" name="cgan_train_curves.png"/>
                    <pic:cNvPicPr/>
                  </pic:nvPicPr>
                  <pic:blipFill>
                    <a:blip r:embed="rId32"/>
                    <a:stretch>
                      <a:fillRect/>
                    </a:stretch>
                  </pic:blipFill>
                  <pic:spPr>
                    <a:xfrm>
                      <a:off x="0" y="0"/>
                      <a:ext cx="3600000" cy="720000"/>
                    </a:xfrm>
                    <a:prstGeom prst="rect"/>
                  </pic:spPr>
                </pic:pic>
              </a:graphicData>
            </a:graphic>
          </wp:inline>
        </w:drawing>
      </w:r>
    </w:p>
    <w:p>
      <w:pPr>
        <w:spacing w:line="300" w:lineRule="auto" w:before="0" w:after="120"/>
        <w:ind w:firstLine="0"/>
        <w:jc w:val="center"/>
      </w:pPr>
      <w:r>
        <w:rPr>
          <w:rFonts w:ascii="Times New Roman" w:hAnsi="Times New Roman" w:eastAsia="宋体"/>
          <w:b w:val="0"/>
          <w:sz w:val="21"/>
        </w:rPr>
        <w:t>图8  CGAN基线复现：训练曲线（判别器/生成器损失与Wasserstein距离估计）</w:t>
      </w:r>
    </w:p>
    <w:p>
      <w:pPr>
        <w:spacing w:line="240" w:lineRule="auto" w:before="120" w:after="40"/>
        <w:ind w:firstLine="0"/>
        <w:jc w:val="center"/>
      </w:pPr>
      <w:r>
        <w:drawing>
          <wp:inline xmlns:a="http://schemas.openxmlformats.org/drawingml/2006/main" xmlns:pic="http://schemas.openxmlformats.org/drawingml/2006/picture">
            <wp:extent cx="2700000" cy="981818"/>
            <wp:docPr id="25" name="Picture 25"/>
            <wp:cNvGraphicFramePr>
              <a:graphicFrameLocks noChangeAspect="1"/>
            </wp:cNvGraphicFramePr>
            <a:graphic>
              <a:graphicData uri="http://schemas.openxmlformats.org/drawingml/2006/picture">
                <pic:pic>
                  <pic:nvPicPr>
                    <pic:cNvPr id="0" name="cgan45_pdfcdf.png"/>
                    <pic:cNvPicPr/>
                  </pic:nvPicPr>
                  <pic:blipFill>
                    <a:blip r:embed="rId33"/>
                    <a:stretch>
                      <a:fillRect/>
                    </a:stretch>
                  </pic:blipFill>
                  <pic:spPr>
                    <a:xfrm>
                      <a:off x="0" y="0"/>
                      <a:ext cx="2700000" cy="981818"/>
                    </a:xfrm>
                    <a:prstGeom prst="rect"/>
                  </pic:spPr>
                </pic:pic>
              </a:graphicData>
            </a:graphic>
          </wp:inline>
        </w:drawing>
        <w:drawing>
          <wp:inline xmlns:a="http://schemas.openxmlformats.org/drawingml/2006/main" xmlns:pic="http://schemas.openxmlformats.org/drawingml/2006/picture">
            <wp:extent cx="2700000" cy="708750"/>
            <wp:docPr id="26" name="Picture 26"/>
            <wp:cNvGraphicFramePr>
              <a:graphicFrameLocks noChangeAspect="1"/>
            </wp:cNvGraphicFramePr>
            <a:graphic>
              <a:graphicData uri="http://schemas.openxmlformats.org/drawingml/2006/picture">
                <pic:pic>
                  <pic:nvPicPr>
                    <pic:cNvPr id="0" name="cgan20_diag.png"/>
                    <pic:cNvPicPr/>
                  </pic:nvPicPr>
                  <pic:blipFill>
                    <a:blip r:embed="rId34"/>
                    <a:stretch>
                      <a:fillRect/>
                    </a:stretch>
                  </pic:blipFill>
                  <pic:spPr>
                    <a:xfrm>
                      <a:off x="0" y="0"/>
                      <a:ext cx="2700000" cy="708750"/>
                    </a:xfrm>
                    <a:prstGeom prst="rect"/>
                  </pic:spPr>
                </pic:pic>
              </a:graphicData>
            </a:graphic>
          </wp:inline>
        </w:drawing>
      </w:r>
    </w:p>
    <w:p>
      <w:pPr>
        <w:spacing w:line="300" w:lineRule="auto" w:before="0" w:after="120"/>
        <w:ind w:firstLine="0"/>
        <w:jc w:val="center"/>
      </w:pPr>
      <w:r>
        <w:rPr>
          <w:rFonts w:ascii="Times New Roman" w:hAnsi="Times New Roman" w:eastAsia="宋体"/>
          <w:b w:val="0"/>
          <w:sz w:val="21"/>
        </w:rPr>
        <w:t>图9  CGAN生成分布检查：(a) 45°仰角PDF/CDF对比；(b) 20°仰角分布诊断</w:t>
      </w:r>
    </w:p>
    <w:p>
      <w:pPr>
        <w:spacing w:line="300" w:lineRule="auto" w:before="0" w:after="0"/>
        <w:ind w:firstLine="480"/>
        <w:jc w:val="both"/>
      </w:pPr>
      <w:r>
        <w:rPr>
          <w:rFonts w:ascii="Times New Roman" w:hAnsi="Times New Roman" w:eastAsia="宋体"/>
          <w:b w:val="0"/>
          <w:sz w:val="24"/>
        </w:rPr>
        <w:t>7个测试仰角的逐点验收结果见表4。6个仰角KS&lt;0.07达到验收线，但30°仰角KS=0.130显著超出验收线；且低仰角整体劣于高仰角。逐仰角诊断（图9b）表明，30°仰角的生成分布相对参考出现系统性偏移。进一步绘制仰角-包络均值曲线（图10）可见：CGAN的均值曲线相对参考出现局部偏离，条件间一致性明显弱于扩散模型。</w:t>
      </w:r>
    </w:p>
    <w:p>
      <w:pPr>
        <w:spacing w:line="300" w:lineRule="auto" w:before="120" w:after="40"/>
        <w:ind w:firstLine="0"/>
        <w:jc w:val="center"/>
      </w:pPr>
      <w:r>
        <w:rPr>
          <w:rFonts w:ascii="Times New Roman" w:hAnsi="Times New Roman" w:eastAsia="宋体"/>
          <w:b w:val="0"/>
          <w:sz w:val="21"/>
        </w:rPr>
        <w:t>表4  CGAN基线（文献[1]复现）7仰角逐点验收（每仰角500条）</w:t>
      </w:r>
    </w:p>
    <w:tbl>
      <w:tblPr>
        <w:tblW w:type="auto" w:w="0"/>
        <w:jc w:val="center"/>
        <w:tblLook w:firstColumn="1" w:firstRow="1" w:lastColumn="0" w:lastRow="0" w:noHBand="0" w:noVBand="1" w:val="04A0"/>
      </w:tblPr>
      <w:tblGrid>
        <w:gridCol w:w="1162"/>
        <w:gridCol w:w="1162"/>
        <w:gridCol w:w="1162"/>
        <w:gridCol w:w="1162"/>
        <w:gridCol w:w="1162"/>
        <w:gridCol w:w="1162"/>
        <w:gridCol w:w="1162"/>
        <w:gridCol w:w="1162"/>
      </w:tblGrid>
      <w:tr>
        <w:tc>
          <w:tcPr>
            <w:tcW w:type="dxa" w:w="850"/>
            <w:vAlign w:val="center"/>
            <w:tcBorders>
              <w:left w:val="none" w:sz="0" w:space="0"/>
              <w:right w:val="none" w:sz="0" w:space="0"/>
              <w:top w:val="single" w:sz="8" w:space="0"/>
              <w:bottom w:val="single" w:sz="4" w:space="0"/>
            </w:tcBorders>
          </w:tcPr>
          <w:p>
            <w:pPr>
              <w:spacing w:line="276" w:lineRule="auto" w:before="0" w:after="0"/>
              <w:ind w:firstLine="0"/>
              <w:jc w:val="center"/>
            </w:pPr>
            <w:r/>
            <w:r>
              <w:rPr>
                <w:rFonts w:ascii="Times New Roman" w:hAnsi="Times New Roman" w:eastAsia="宋体"/>
                <w:b w:val="0"/>
                <w:sz w:val="19"/>
              </w:rPr>
              <w:t>仰角</w:t>
            </w:r>
          </w:p>
        </w:tc>
        <w:tc>
          <w:tcPr>
            <w:tcW w:type="dxa" w:w="850"/>
            <w:vAlign w:val="center"/>
            <w:tcBorders>
              <w:left w:val="none" w:sz="0" w:space="0"/>
              <w:right w:val="none" w:sz="0" w:space="0"/>
              <w:top w:val="single" w:sz="8" w:space="0"/>
              <w:bottom w:val="single" w:sz="4" w:space="0"/>
            </w:tcBorders>
          </w:tcPr>
          <w:p>
            <w:pPr>
              <w:spacing w:line="276" w:lineRule="auto" w:before="0" w:after="0"/>
              <w:ind w:firstLine="0"/>
              <w:jc w:val="center"/>
            </w:pPr>
            <w:r/>
            <w:r>
              <w:rPr>
                <w:rFonts w:ascii="Times New Roman" w:hAnsi="Times New Roman" w:eastAsia="宋体"/>
                <w:b w:val="0"/>
                <w:sz w:val="19"/>
              </w:rPr>
              <w:t>KS</w:t>
            </w:r>
          </w:p>
        </w:tc>
        <w:tc>
          <w:tcPr>
            <w:tcW w:type="dxa" w:w="1020"/>
            <w:vAlign w:val="center"/>
            <w:tcBorders>
              <w:left w:val="none" w:sz="0" w:space="0"/>
              <w:right w:val="none" w:sz="0" w:space="0"/>
              <w:top w:val="single" w:sz="8" w:space="0"/>
              <w:bottom w:val="single" w:sz="4" w:space="0"/>
            </w:tcBorders>
          </w:tcPr>
          <w:p>
            <w:pPr>
              <w:spacing w:line="276" w:lineRule="auto" w:before="0" w:after="0"/>
              <w:ind w:firstLine="0"/>
              <w:jc w:val="center"/>
            </w:pPr>
            <w:r/>
            <w:r>
              <w:rPr>
                <w:rFonts w:ascii="Times New Roman" w:hAnsi="Times New Roman" w:eastAsia="宋体"/>
                <w:b w:val="0"/>
                <w:sz w:val="19"/>
              </w:rPr>
              <w:t>PDF L1</w:t>
            </w:r>
          </w:p>
        </w:tc>
        <w:tc>
          <w:tcPr>
            <w:tcW w:type="dxa" w:w="1247"/>
            <w:vAlign w:val="center"/>
            <w:tcBorders>
              <w:left w:val="none" w:sz="0" w:space="0"/>
              <w:right w:val="none" w:sz="0" w:space="0"/>
              <w:top w:val="single" w:sz="8" w:space="0"/>
              <w:bottom w:val="single" w:sz="4" w:space="0"/>
            </w:tcBorders>
          </w:tcPr>
          <w:p>
            <w:pPr>
              <w:spacing w:line="276" w:lineRule="auto" w:before="0" w:after="0"/>
              <w:ind w:firstLine="0"/>
              <w:jc w:val="center"/>
            </w:pPr>
            <w:r/>
            <w:r>
              <w:rPr>
                <w:rFonts w:ascii="Times New Roman" w:hAnsi="Times New Roman" w:eastAsia="宋体"/>
                <w:b w:val="0"/>
                <w:sz w:val="19"/>
              </w:rPr>
              <w:t>Wasserstein</w:t>
            </w:r>
          </w:p>
        </w:tc>
        <w:tc>
          <w:tcPr>
            <w:tcW w:type="dxa" w:w="1020"/>
            <w:vAlign w:val="center"/>
            <w:tcBorders>
              <w:left w:val="none" w:sz="0" w:space="0"/>
              <w:right w:val="none" w:sz="0" w:space="0"/>
              <w:top w:val="single" w:sz="8" w:space="0"/>
              <w:bottom w:val="single" w:sz="4" w:space="0"/>
            </w:tcBorders>
          </w:tcPr>
          <w:p>
            <w:pPr>
              <w:spacing w:line="276" w:lineRule="auto" w:before="0" w:after="0"/>
              <w:ind w:firstLine="0"/>
              <w:jc w:val="center"/>
            </w:pPr>
            <w:r/>
            <w:r>
              <w:rPr>
                <w:rFonts w:ascii="Times New Roman" w:hAnsi="Times New Roman" w:eastAsia="宋体"/>
                <w:b w:val="0"/>
                <w:sz w:val="19"/>
              </w:rPr>
              <w:t>LCR rel</w:t>
            </w:r>
          </w:p>
        </w:tc>
        <w:tc>
          <w:tcPr>
            <w:tcW w:type="dxa" w:w="1020"/>
            <w:vAlign w:val="center"/>
            <w:tcBorders>
              <w:left w:val="none" w:sz="0" w:space="0"/>
              <w:right w:val="none" w:sz="0" w:space="0"/>
              <w:top w:val="single" w:sz="8" w:space="0"/>
              <w:bottom w:val="single" w:sz="4" w:space="0"/>
            </w:tcBorders>
          </w:tcPr>
          <w:p>
            <w:pPr>
              <w:spacing w:line="276" w:lineRule="auto" w:before="0" w:after="0"/>
              <w:ind w:firstLine="0"/>
              <w:jc w:val="center"/>
            </w:pPr>
            <w:r/>
            <w:r>
              <w:rPr>
                <w:rFonts w:ascii="Times New Roman" w:hAnsi="Times New Roman" w:eastAsia="宋体"/>
                <w:b w:val="0"/>
                <w:sz w:val="19"/>
              </w:rPr>
              <w:t>AFD rel</w:t>
            </w:r>
          </w:p>
        </w:tc>
        <w:tc>
          <w:tcPr>
            <w:tcW w:type="dxa" w:w="1134"/>
            <w:vAlign w:val="center"/>
            <w:tcBorders>
              <w:left w:val="none" w:sz="0" w:space="0"/>
              <w:right w:val="none" w:sz="0" w:space="0"/>
              <w:top w:val="single" w:sz="8" w:space="0"/>
              <w:bottom w:val="single" w:sz="4" w:space="0"/>
            </w:tcBorders>
          </w:tcPr>
          <w:p>
            <w:pPr>
              <w:spacing w:line="276" w:lineRule="auto" w:before="0" w:after="0"/>
              <w:ind w:firstLine="0"/>
              <w:jc w:val="center"/>
            </w:pPr>
            <w:r/>
            <w:r>
              <w:rPr>
                <w:rFonts w:ascii="Times New Roman" w:hAnsi="Times New Roman" w:eastAsia="宋体"/>
                <w:b w:val="0"/>
                <w:sz w:val="19"/>
              </w:rPr>
              <w:t>BER RMSE</w:t>
            </w:r>
          </w:p>
        </w:tc>
        <w:tc>
          <w:tcPr>
            <w:tcW w:type="dxa" w:w="1020"/>
            <w:vAlign w:val="center"/>
            <w:tcBorders>
              <w:left w:val="none" w:sz="0" w:space="0"/>
              <w:right w:val="none" w:sz="0" w:space="0"/>
              <w:top w:val="single" w:sz="8" w:space="0"/>
              <w:bottom w:val="single" w:sz="4" w:space="0"/>
            </w:tcBorders>
          </w:tcPr>
          <w:p>
            <w:pPr>
              <w:spacing w:line="276" w:lineRule="auto" w:before="0" w:after="0"/>
              <w:ind w:firstLine="0"/>
              <w:jc w:val="center"/>
            </w:pPr>
            <w:r/>
            <w:r>
              <w:rPr>
                <w:rFonts w:ascii="Times New Roman" w:hAnsi="Times New Roman" w:eastAsia="宋体"/>
                <w:b w:val="0"/>
                <w:sz w:val="19"/>
              </w:rPr>
              <w:t>判定</w:t>
            </w:r>
          </w:p>
        </w:tc>
      </w:tr>
      <w:tr>
        <w:tc>
          <w:tcPr>
            <w:tcW w:type="dxa" w:w="850"/>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20°</w:t>
            </w:r>
          </w:p>
        </w:tc>
        <w:tc>
          <w:tcPr>
            <w:tcW w:type="dxa" w:w="850"/>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0.068</w:t>
            </w:r>
          </w:p>
        </w:tc>
        <w:tc>
          <w:tcPr>
            <w:tcW w:type="dxa" w:w="1020"/>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0.152</w:t>
            </w:r>
          </w:p>
        </w:tc>
        <w:tc>
          <w:tcPr>
            <w:tcW w:type="dxa" w:w="1247"/>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0.039</w:t>
            </w:r>
          </w:p>
        </w:tc>
        <w:tc>
          <w:tcPr>
            <w:tcW w:type="dxa" w:w="1020"/>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0.159</w:t>
            </w:r>
          </w:p>
        </w:tc>
        <w:tc>
          <w:tcPr>
            <w:tcW w:type="dxa" w:w="1020"/>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0.145</w:t>
            </w:r>
          </w:p>
        </w:tc>
        <w:tc>
          <w:tcPr>
            <w:tcW w:type="dxa" w:w="113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0.114</w:t>
            </w:r>
          </w:p>
        </w:tc>
        <w:tc>
          <w:tcPr>
            <w:tcW w:type="dxa" w:w="1020"/>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通过</w:t>
            </w:r>
          </w:p>
        </w:tc>
      </w:tr>
      <w:tr>
        <w:tc>
          <w:tcPr>
            <w:tcW w:type="dxa" w:w="850"/>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30°</w:t>
            </w:r>
          </w:p>
        </w:tc>
        <w:tc>
          <w:tcPr>
            <w:tcW w:type="dxa" w:w="850"/>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sz w:val="19"/>
              </w:rPr>
              <w:t>0.130</w:t>
            </w:r>
          </w:p>
        </w:tc>
        <w:tc>
          <w:tcPr>
            <w:tcW w:type="dxa" w:w="1020"/>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0.260</w:t>
            </w:r>
          </w:p>
        </w:tc>
        <w:tc>
          <w:tcPr>
            <w:tcW w:type="dxa" w:w="1247"/>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0.109</w:t>
            </w:r>
          </w:p>
        </w:tc>
        <w:tc>
          <w:tcPr>
            <w:tcW w:type="dxa" w:w="1020"/>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0.328</w:t>
            </w:r>
          </w:p>
        </w:tc>
        <w:tc>
          <w:tcPr>
            <w:tcW w:type="dxa" w:w="1020"/>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0.270</w:t>
            </w:r>
          </w:p>
        </w:tc>
        <w:tc>
          <w:tcPr>
            <w:tcW w:type="dxa" w:w="113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0.153</w:t>
            </w:r>
          </w:p>
        </w:tc>
        <w:tc>
          <w:tcPr>
            <w:tcW w:type="dxa" w:w="1020"/>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sz w:val="19"/>
              </w:rPr>
              <w:t>未通过</w:t>
            </w:r>
          </w:p>
        </w:tc>
      </w:tr>
      <w:tr>
        <w:tc>
          <w:tcPr>
            <w:tcW w:type="dxa" w:w="850"/>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40°</w:t>
            </w:r>
          </w:p>
        </w:tc>
        <w:tc>
          <w:tcPr>
            <w:tcW w:type="dxa" w:w="850"/>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0.044</w:t>
            </w:r>
          </w:p>
        </w:tc>
        <w:tc>
          <w:tcPr>
            <w:tcW w:type="dxa" w:w="1020"/>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0.099</w:t>
            </w:r>
          </w:p>
        </w:tc>
        <w:tc>
          <w:tcPr>
            <w:tcW w:type="dxa" w:w="1247"/>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0.027</w:t>
            </w:r>
          </w:p>
        </w:tc>
        <w:tc>
          <w:tcPr>
            <w:tcW w:type="dxa" w:w="1020"/>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0.271</w:t>
            </w:r>
          </w:p>
        </w:tc>
        <w:tc>
          <w:tcPr>
            <w:tcW w:type="dxa" w:w="1020"/>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0.597</w:t>
            </w:r>
          </w:p>
        </w:tc>
        <w:tc>
          <w:tcPr>
            <w:tcW w:type="dxa" w:w="113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0.112</w:t>
            </w:r>
          </w:p>
        </w:tc>
        <w:tc>
          <w:tcPr>
            <w:tcW w:type="dxa" w:w="1020"/>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通过</w:t>
            </w:r>
          </w:p>
        </w:tc>
      </w:tr>
      <w:tr>
        <w:tc>
          <w:tcPr>
            <w:tcW w:type="dxa" w:w="850"/>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50°</w:t>
            </w:r>
          </w:p>
        </w:tc>
        <w:tc>
          <w:tcPr>
            <w:tcW w:type="dxa" w:w="850"/>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0.018</w:t>
            </w:r>
          </w:p>
        </w:tc>
        <w:tc>
          <w:tcPr>
            <w:tcW w:type="dxa" w:w="1020"/>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0.046</w:t>
            </w:r>
          </w:p>
        </w:tc>
        <w:tc>
          <w:tcPr>
            <w:tcW w:type="dxa" w:w="1247"/>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0.014</w:t>
            </w:r>
          </w:p>
        </w:tc>
        <w:tc>
          <w:tcPr>
            <w:tcW w:type="dxa" w:w="1020"/>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0.236</w:t>
            </w:r>
          </w:p>
        </w:tc>
        <w:tc>
          <w:tcPr>
            <w:tcW w:type="dxa" w:w="1020"/>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0.167</w:t>
            </w:r>
          </w:p>
        </w:tc>
        <w:tc>
          <w:tcPr>
            <w:tcW w:type="dxa" w:w="113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0.039</w:t>
            </w:r>
          </w:p>
        </w:tc>
        <w:tc>
          <w:tcPr>
            <w:tcW w:type="dxa" w:w="1020"/>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通过</w:t>
            </w:r>
          </w:p>
        </w:tc>
      </w:tr>
      <w:tr>
        <w:tc>
          <w:tcPr>
            <w:tcW w:type="dxa" w:w="850"/>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60°</w:t>
            </w:r>
          </w:p>
        </w:tc>
        <w:tc>
          <w:tcPr>
            <w:tcW w:type="dxa" w:w="850"/>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0.024</w:t>
            </w:r>
          </w:p>
        </w:tc>
        <w:tc>
          <w:tcPr>
            <w:tcW w:type="dxa" w:w="1020"/>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0.095</w:t>
            </w:r>
          </w:p>
        </w:tc>
        <w:tc>
          <w:tcPr>
            <w:tcW w:type="dxa" w:w="1247"/>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0.017</w:t>
            </w:r>
          </w:p>
        </w:tc>
        <w:tc>
          <w:tcPr>
            <w:tcW w:type="dxa" w:w="1020"/>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0.173</w:t>
            </w:r>
          </w:p>
        </w:tc>
        <w:tc>
          <w:tcPr>
            <w:tcW w:type="dxa" w:w="1020"/>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w:t>
            </w:r>
          </w:p>
        </w:tc>
        <w:tc>
          <w:tcPr>
            <w:tcW w:type="dxa" w:w="113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0.024</w:t>
            </w:r>
          </w:p>
        </w:tc>
        <w:tc>
          <w:tcPr>
            <w:tcW w:type="dxa" w:w="1020"/>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通过</w:t>
            </w:r>
          </w:p>
        </w:tc>
      </w:tr>
      <w:tr>
        <w:tc>
          <w:tcPr>
            <w:tcW w:type="dxa" w:w="850"/>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70°</w:t>
            </w:r>
          </w:p>
        </w:tc>
        <w:tc>
          <w:tcPr>
            <w:tcW w:type="dxa" w:w="850"/>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0.048</w:t>
            </w:r>
          </w:p>
        </w:tc>
        <w:tc>
          <w:tcPr>
            <w:tcW w:type="dxa" w:w="1020"/>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0.187</w:t>
            </w:r>
          </w:p>
        </w:tc>
        <w:tc>
          <w:tcPr>
            <w:tcW w:type="dxa" w:w="1247"/>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0.031</w:t>
            </w:r>
          </w:p>
        </w:tc>
        <w:tc>
          <w:tcPr>
            <w:tcW w:type="dxa" w:w="1020"/>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0.365</w:t>
            </w:r>
          </w:p>
        </w:tc>
        <w:tc>
          <w:tcPr>
            <w:tcW w:type="dxa" w:w="1020"/>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w:t>
            </w:r>
          </w:p>
        </w:tc>
        <w:tc>
          <w:tcPr>
            <w:tcW w:type="dxa" w:w="113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0.127</w:t>
            </w:r>
          </w:p>
        </w:tc>
        <w:tc>
          <w:tcPr>
            <w:tcW w:type="dxa" w:w="1020"/>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通过</w:t>
            </w:r>
          </w:p>
        </w:tc>
      </w:tr>
      <w:tr>
        <w:tc>
          <w:tcPr>
            <w:tcW w:type="dxa" w:w="850"/>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80°</w:t>
            </w:r>
          </w:p>
        </w:tc>
        <w:tc>
          <w:tcPr>
            <w:tcW w:type="dxa" w:w="850"/>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0.040</w:t>
            </w:r>
          </w:p>
        </w:tc>
        <w:tc>
          <w:tcPr>
            <w:tcW w:type="dxa" w:w="1020"/>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0.080</w:t>
            </w:r>
          </w:p>
        </w:tc>
        <w:tc>
          <w:tcPr>
            <w:tcW w:type="dxa" w:w="1247"/>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0.021</w:t>
            </w:r>
          </w:p>
        </w:tc>
        <w:tc>
          <w:tcPr>
            <w:tcW w:type="dxa" w:w="1020"/>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1.056</w:t>
            </w:r>
          </w:p>
        </w:tc>
        <w:tc>
          <w:tcPr>
            <w:tcW w:type="dxa" w:w="1020"/>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w:t>
            </w:r>
          </w:p>
        </w:tc>
        <w:tc>
          <w:tcPr>
            <w:tcW w:type="dxa" w:w="113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0.022</w:t>
            </w:r>
          </w:p>
        </w:tc>
        <w:tc>
          <w:tcPr>
            <w:tcW w:type="dxa" w:w="1020"/>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19"/>
              </w:rPr>
              <w:t>通过</w:t>
            </w:r>
          </w:p>
        </w:tc>
      </w:tr>
      <w:tr>
        <w:tc>
          <w:tcPr>
            <w:tcW w:type="dxa" w:w="850"/>
            <w:vAlign w:val="center"/>
            <w:tcBorders>
              <w:left w:val="none" w:sz="0" w:space="0"/>
              <w:right w:val="none" w:sz="0" w:space="0"/>
              <w:top w:val="none" w:sz="6" w:space="0"/>
              <w:bottom w:val="single" w:sz="8" w:space="0"/>
            </w:tcBorders>
          </w:tcPr>
          <w:p>
            <w:pPr>
              <w:spacing w:line="276" w:lineRule="auto" w:before="0" w:after="0"/>
              <w:ind w:firstLine="0"/>
              <w:jc w:val="center"/>
            </w:pPr>
            <w:r/>
            <w:r>
              <w:rPr>
                <w:rFonts w:ascii="Times New Roman" w:hAnsi="Times New Roman" w:eastAsia="宋体"/>
                <w:b/>
                <w:sz w:val="19"/>
              </w:rPr>
              <w:t>均值</w:t>
            </w:r>
          </w:p>
        </w:tc>
        <w:tc>
          <w:tcPr>
            <w:tcW w:type="dxa" w:w="850"/>
            <w:vAlign w:val="center"/>
            <w:tcBorders>
              <w:left w:val="none" w:sz="0" w:space="0"/>
              <w:right w:val="none" w:sz="0" w:space="0"/>
              <w:top w:val="none" w:sz="6" w:space="0"/>
              <w:bottom w:val="single" w:sz="8" w:space="0"/>
            </w:tcBorders>
          </w:tcPr>
          <w:p>
            <w:pPr>
              <w:spacing w:line="276" w:lineRule="auto" w:before="0" w:after="0"/>
              <w:ind w:firstLine="0"/>
              <w:jc w:val="center"/>
            </w:pPr>
            <w:r/>
            <w:r>
              <w:rPr>
                <w:rFonts w:ascii="Times New Roman" w:hAnsi="Times New Roman" w:eastAsia="宋体"/>
                <w:b/>
                <w:sz w:val="19"/>
              </w:rPr>
              <w:t>0.053</w:t>
            </w:r>
          </w:p>
        </w:tc>
        <w:tc>
          <w:tcPr>
            <w:tcW w:type="dxa" w:w="1020"/>
            <w:vAlign w:val="center"/>
            <w:tcBorders>
              <w:left w:val="none" w:sz="0" w:space="0"/>
              <w:right w:val="none" w:sz="0" w:space="0"/>
              <w:top w:val="none" w:sz="6" w:space="0"/>
              <w:bottom w:val="single" w:sz="8" w:space="0"/>
            </w:tcBorders>
          </w:tcPr>
          <w:p>
            <w:pPr>
              <w:spacing w:line="276" w:lineRule="auto" w:before="0" w:after="0"/>
              <w:ind w:firstLine="0"/>
              <w:jc w:val="center"/>
            </w:pPr>
            <w:r/>
            <w:r>
              <w:rPr>
                <w:rFonts w:ascii="Times New Roman" w:hAnsi="Times New Roman" w:eastAsia="宋体"/>
                <w:b/>
                <w:sz w:val="19"/>
              </w:rPr>
              <w:t>0.132</w:t>
            </w:r>
          </w:p>
        </w:tc>
        <w:tc>
          <w:tcPr>
            <w:tcW w:type="dxa" w:w="1247"/>
            <w:vAlign w:val="center"/>
            <w:tcBorders>
              <w:left w:val="none" w:sz="0" w:space="0"/>
              <w:right w:val="none" w:sz="0" w:space="0"/>
              <w:top w:val="none" w:sz="6" w:space="0"/>
              <w:bottom w:val="single" w:sz="8" w:space="0"/>
            </w:tcBorders>
          </w:tcPr>
          <w:p>
            <w:pPr>
              <w:spacing w:line="276" w:lineRule="auto" w:before="0" w:after="0"/>
              <w:ind w:firstLine="0"/>
              <w:jc w:val="center"/>
            </w:pPr>
            <w:r/>
            <w:r>
              <w:rPr>
                <w:rFonts w:ascii="Times New Roman" w:hAnsi="Times New Roman" w:eastAsia="宋体"/>
                <w:b/>
                <w:sz w:val="19"/>
              </w:rPr>
              <w:t>0.038</w:t>
            </w:r>
          </w:p>
        </w:tc>
        <w:tc>
          <w:tcPr>
            <w:tcW w:type="dxa" w:w="1020"/>
            <w:vAlign w:val="center"/>
            <w:tcBorders>
              <w:left w:val="none" w:sz="0" w:space="0"/>
              <w:right w:val="none" w:sz="0" w:space="0"/>
              <w:top w:val="none" w:sz="6" w:space="0"/>
              <w:bottom w:val="single" w:sz="8" w:space="0"/>
            </w:tcBorders>
          </w:tcPr>
          <w:p>
            <w:pPr>
              <w:spacing w:line="276" w:lineRule="auto" w:before="0" w:after="0"/>
              <w:ind w:firstLine="0"/>
              <w:jc w:val="center"/>
            </w:pPr>
            <w:r/>
            <w:r>
              <w:rPr>
                <w:rFonts w:ascii="Times New Roman" w:hAnsi="Times New Roman" w:eastAsia="宋体"/>
                <w:b/>
                <w:sz w:val="19"/>
              </w:rPr>
              <w:t>0.370</w:t>
            </w:r>
          </w:p>
        </w:tc>
        <w:tc>
          <w:tcPr>
            <w:tcW w:type="dxa" w:w="1020"/>
            <w:vAlign w:val="center"/>
            <w:tcBorders>
              <w:left w:val="none" w:sz="0" w:space="0"/>
              <w:right w:val="none" w:sz="0" w:space="0"/>
              <w:top w:val="none" w:sz="6" w:space="0"/>
              <w:bottom w:val="single" w:sz="8" w:space="0"/>
            </w:tcBorders>
          </w:tcPr>
          <w:p>
            <w:pPr>
              <w:spacing w:line="276" w:lineRule="auto" w:before="0" w:after="0"/>
              <w:ind w:firstLine="0"/>
              <w:jc w:val="center"/>
            </w:pPr>
            <w:r/>
            <w:r>
              <w:rPr>
                <w:rFonts w:ascii="Times New Roman" w:hAnsi="Times New Roman" w:eastAsia="宋体"/>
                <w:b w:val="0"/>
                <w:sz w:val="19"/>
              </w:rPr>
              <w:t>—</w:t>
            </w:r>
          </w:p>
        </w:tc>
        <w:tc>
          <w:tcPr>
            <w:tcW w:type="dxa" w:w="1134"/>
            <w:vAlign w:val="center"/>
            <w:tcBorders>
              <w:left w:val="none" w:sz="0" w:space="0"/>
              <w:right w:val="none" w:sz="0" w:space="0"/>
              <w:top w:val="none" w:sz="6" w:space="0"/>
              <w:bottom w:val="single" w:sz="8" w:space="0"/>
            </w:tcBorders>
          </w:tcPr>
          <w:p>
            <w:pPr>
              <w:spacing w:line="276" w:lineRule="auto" w:before="0" w:after="0"/>
              <w:ind w:firstLine="0"/>
              <w:jc w:val="center"/>
            </w:pPr>
            <w:r/>
            <w:r>
              <w:rPr>
                <w:rFonts w:ascii="Times New Roman" w:hAnsi="Times New Roman" w:eastAsia="宋体"/>
                <w:b/>
                <w:sz w:val="19"/>
              </w:rPr>
              <w:t>0.087</w:t>
            </w:r>
          </w:p>
        </w:tc>
        <w:tc>
          <w:tcPr>
            <w:tcW w:type="dxa" w:w="1020"/>
            <w:vAlign w:val="center"/>
            <w:tcBorders>
              <w:left w:val="none" w:sz="0" w:space="0"/>
              <w:right w:val="none" w:sz="0" w:space="0"/>
              <w:top w:val="none" w:sz="6" w:space="0"/>
              <w:bottom w:val="single" w:sz="8" w:space="0"/>
            </w:tcBorders>
          </w:tcPr>
          <w:p>
            <w:pPr>
              <w:spacing w:line="276" w:lineRule="auto" w:before="0" w:after="0"/>
              <w:ind w:firstLine="0"/>
              <w:jc w:val="center"/>
            </w:pPr>
            <w:r/>
            <w:r>
              <w:rPr>
                <w:rFonts w:ascii="Times New Roman" w:hAnsi="Times New Roman" w:eastAsia="宋体"/>
                <w:b/>
                <w:sz w:val="19"/>
              </w:rPr>
              <w:t>6/7</w:t>
            </w:r>
          </w:p>
        </w:tc>
      </w:tr>
    </w:tbl>
    <w:p>
      <w:pPr>
        <w:spacing w:line="276" w:lineRule="auto" w:before="40" w:after="120"/>
        <w:ind w:firstLine="0"/>
        <w:jc w:val="left"/>
      </w:pPr>
      <w:r>
        <w:rPr>
          <w:rFonts w:ascii="Times New Roman" w:hAnsi="Times New Roman" w:eastAsia="宋体"/>
          <w:b w:val="0"/>
          <w:sz w:val="18"/>
        </w:rPr>
        <w:t>注：AFD在高门限处参考序列无穿越事件，以"—"表示（统计意义缺失，非误差）；验收线见表3。</w:t>
      </w:r>
    </w:p>
    <w:p>
      <w:pPr>
        <w:spacing w:line="300" w:lineRule="auto" w:before="0" w:after="0"/>
        <w:ind w:firstLine="480"/>
        <w:jc w:val="both"/>
      </w:pPr>
      <w:r>
        <w:rPr>
          <w:rFonts w:ascii="Times New Roman" w:hAnsi="Times New Roman" w:eastAsia="宋体"/>
          <w:b w:val="0"/>
          <w:sz w:val="24"/>
        </w:rPr>
        <w:t>成因分析：该现象的根源在于WGAN-GP损失的结构性局限——对抗损失仅在单个条件下约束分布匹配，缺乏跨条件有序性约束，相邻仰角的生成均值在训练中相互拖拽；条件区间边界（如20°）仅受单侧相邻条件牵制、约束最弱，漂移风险最高。引入跨条件单调一致性正则（同一批噪声跨条件复用，对逆序均值对施加铰链惩罚）可抑制秩翻转，但无法根治单条件内的分布失配（30°仰角KS=0.130即加入正则后的结果）。该现象已通过双随机种子（42/1234）复现验证，具有结构性。这一发现直接构成本课题引入扩散模型的动机之一：扩散模型的ε预测回归目标逐条件独立优化，且FiLM条件注入贯穿所有残差块，机理上不存在对抗博弈带来的条件间拖拽。</w:t>
      </w:r>
    </w:p>
    <w:p>
      <w:pPr>
        <w:spacing w:line="240" w:lineRule="auto" w:before="120" w:after="40"/>
        <w:ind w:firstLine="0"/>
        <w:jc w:val="center"/>
      </w:pPr>
      <w:r>
        <w:drawing>
          <wp:inline xmlns:a="http://schemas.openxmlformats.org/drawingml/2006/main" xmlns:pic="http://schemas.openxmlformats.org/drawingml/2006/picture">
            <wp:extent cx="4320000" cy="2430000"/>
            <wp:docPr id="27" name="Picture 27"/>
            <wp:cNvGraphicFramePr>
              <a:graphicFrameLocks noChangeAspect="1"/>
            </wp:cNvGraphicFramePr>
            <a:graphic>
              <a:graphicData uri="http://schemas.openxmlformats.org/drawingml/2006/picture">
                <pic:pic>
                  <pic:nvPicPr>
                    <pic:cNvPr id="0" name="fig_mean_curve.png"/>
                    <pic:cNvPicPr/>
                  </pic:nvPicPr>
                  <pic:blipFill>
                    <a:blip r:embed="rId35"/>
                    <a:stretch>
                      <a:fillRect/>
                    </a:stretch>
                  </pic:blipFill>
                  <pic:spPr>
                    <a:xfrm>
                      <a:off x="0" y="0"/>
                      <a:ext cx="4320000" cy="2430000"/>
                    </a:xfrm>
                    <a:prstGeom prst="rect"/>
                  </pic:spPr>
                </pic:pic>
              </a:graphicData>
            </a:graphic>
          </wp:inline>
        </w:drawing>
      </w:r>
    </w:p>
    <w:p>
      <w:pPr>
        <w:spacing w:line="300" w:lineRule="auto" w:before="0" w:after="120"/>
        <w:ind w:firstLine="0"/>
        <w:jc w:val="center"/>
      </w:pPr>
      <w:r>
        <w:rPr>
          <w:rFonts w:ascii="Times New Roman" w:hAnsi="Times New Roman" w:eastAsia="宋体"/>
          <w:b w:val="0"/>
          <w:sz w:val="21"/>
        </w:rPr>
        <w:t>图10  仰角-包络均值曲线（标准化域，每仰角500条新采样）：CGAN相对参考出现局部偏离，扩散模型紧贴参考（阴影为参考±1σ）</w:t>
      </w:r>
    </w:p>
    <w:p>
      <w:pPr>
        <w:spacing w:line="300" w:lineRule="auto" w:before="40" w:after="40"/>
        <w:ind w:firstLine="0"/>
        <w:jc w:val="left"/>
      </w:pPr>
      <w:r>
        <w:rPr>
          <w:rFonts w:ascii="Times New Roman" w:hAnsi="Times New Roman" w:eastAsia="黑体"/>
          <w:b/>
          <w:sz w:val="24"/>
        </w:rPr>
        <w:t>4. 条件扩散模型初步结果</w:t>
      </w:r>
    </w:p>
    <w:p>
      <w:pPr>
        <w:spacing w:line="300" w:lineRule="auto" w:before="0" w:after="0"/>
        <w:ind w:firstLine="480"/>
        <w:jc w:val="both"/>
      </w:pPr>
      <w:r>
        <w:rPr>
          <w:rFonts w:ascii="Times New Roman" w:hAnsi="Times New Roman" w:eastAsia="宋体"/>
          <w:b w:val="0"/>
          <w:sz w:val="24"/>
        </w:rPr>
        <w:t>按表2完成扩散模型训练。图11a为训练损失曲线：ε预测MSE平滑单调下降，无对抗训练的震荡，训练稳定性显著优于CGAN。图11b为DDIM-20步采样在45°的生成分布，KS=0.014，已优于CGAN最优仰角。</w:t>
      </w:r>
    </w:p>
    <w:p>
      <w:pPr>
        <w:spacing w:line="240" w:lineRule="auto" w:before="120" w:after="40"/>
        <w:ind w:firstLine="0"/>
        <w:jc w:val="center"/>
      </w:pPr>
      <w:r>
        <w:drawing>
          <wp:inline xmlns:a="http://schemas.openxmlformats.org/drawingml/2006/main" xmlns:pic="http://schemas.openxmlformats.org/drawingml/2006/picture">
            <wp:extent cx="2700000" cy="1542857"/>
            <wp:docPr id="28" name="Picture 28"/>
            <wp:cNvGraphicFramePr>
              <a:graphicFrameLocks noChangeAspect="1"/>
            </wp:cNvGraphicFramePr>
            <a:graphic>
              <a:graphicData uri="http://schemas.openxmlformats.org/drawingml/2006/picture">
                <pic:pic>
                  <pic:nvPicPr>
                    <pic:cNvPr id="0" name="ddpm_train_curve.png"/>
                    <pic:cNvPicPr/>
                  </pic:nvPicPr>
                  <pic:blipFill>
                    <a:blip r:embed="rId36"/>
                    <a:stretch>
                      <a:fillRect/>
                    </a:stretch>
                  </pic:blipFill>
                  <pic:spPr>
                    <a:xfrm>
                      <a:off x="0" y="0"/>
                      <a:ext cx="2700000" cy="1542857"/>
                    </a:xfrm>
                    <a:prstGeom prst="rect"/>
                  </pic:spPr>
                </pic:pic>
              </a:graphicData>
            </a:graphic>
          </wp:inline>
        </w:drawing>
        <w:drawing>
          <wp:inline xmlns:a="http://schemas.openxmlformats.org/drawingml/2006/main" xmlns:pic="http://schemas.openxmlformats.org/drawingml/2006/picture">
            <wp:extent cx="2700000" cy="981818"/>
            <wp:docPr id="29" name="Picture 29"/>
            <wp:cNvGraphicFramePr>
              <a:graphicFrameLocks noChangeAspect="1"/>
            </wp:cNvGraphicFramePr>
            <a:graphic>
              <a:graphicData uri="http://schemas.openxmlformats.org/drawingml/2006/picture">
                <pic:pic>
                  <pic:nvPicPr>
                    <pic:cNvPr id="0" name="ddim20_45_pdfcdf.png"/>
                    <pic:cNvPicPr/>
                  </pic:nvPicPr>
                  <pic:blipFill>
                    <a:blip r:embed="rId37"/>
                    <a:stretch>
                      <a:fillRect/>
                    </a:stretch>
                  </pic:blipFill>
                  <pic:spPr>
                    <a:xfrm>
                      <a:off x="0" y="0"/>
                      <a:ext cx="2700000" cy="981818"/>
                    </a:xfrm>
                    <a:prstGeom prst="rect"/>
                  </pic:spPr>
                </pic:pic>
              </a:graphicData>
            </a:graphic>
          </wp:inline>
        </w:drawing>
      </w:r>
    </w:p>
    <w:p>
      <w:pPr>
        <w:spacing w:line="300" w:lineRule="auto" w:before="0" w:after="120"/>
        <w:ind w:firstLine="0"/>
        <w:jc w:val="center"/>
      </w:pPr>
      <w:r>
        <w:rPr>
          <w:rFonts w:ascii="Times New Roman" w:hAnsi="Times New Roman" w:eastAsia="宋体"/>
          <w:b w:val="0"/>
          <w:sz w:val="21"/>
        </w:rPr>
        <w:t>图11  条件扩散模型：训练过程与代表性采样结果。(a) 扩散模型训练损失（ε-MSE，平滑下降）；(b) DDIM-20采样45°分布（KS=0.014）</w:t>
      </w:r>
    </w:p>
    <w:p>
      <w:pPr>
        <w:spacing w:line="300" w:lineRule="auto" w:before="0" w:after="0"/>
        <w:ind w:firstLine="480"/>
        <w:jc w:val="both"/>
      </w:pPr>
      <w:r>
        <w:rPr>
          <w:rFonts w:ascii="Times New Roman" w:hAnsi="Times New Roman" w:eastAsia="宋体"/>
          <w:b w:val="0"/>
          <w:sz w:val="24"/>
        </w:rPr>
        <w:t>图12给出四类配置在7个仰角的KS统计量对比：扩散模型全部配置、全部仰角均通过合格线（0.07），且全部优于优秀线（0.02）；CGAN在30°仰角超出合格线。图13给出时序指标的对比：扩散模型的LCR相对RMSE在全部仰角低于CGAN，DDPM-1000配置的LCR/AFD相对RMSE均值分别为0.074/0.097，较CGAN（0.370/—）改善一个量级以内但全面占优。各配置汇总见表5。</w:t>
      </w:r>
    </w:p>
    <w:p>
      <w:pPr>
        <w:spacing w:line="240" w:lineRule="auto" w:before="120" w:after="40"/>
        <w:ind w:firstLine="0"/>
        <w:jc w:val="center"/>
      </w:pPr>
      <w:r>
        <w:drawing>
          <wp:inline xmlns:a="http://schemas.openxmlformats.org/drawingml/2006/main" xmlns:pic="http://schemas.openxmlformats.org/drawingml/2006/picture">
            <wp:extent cx="4680000" cy="2340000"/>
            <wp:docPr id="30" name="Picture 30"/>
            <wp:cNvGraphicFramePr>
              <a:graphicFrameLocks noChangeAspect="1"/>
            </wp:cNvGraphicFramePr>
            <a:graphic>
              <a:graphicData uri="http://schemas.openxmlformats.org/drawingml/2006/picture">
                <pic:pic>
                  <pic:nvPicPr>
                    <pic:cNvPr id="0" name="fig_ks_comparison.png"/>
                    <pic:cNvPicPr/>
                  </pic:nvPicPr>
                  <pic:blipFill>
                    <a:blip r:embed="rId38"/>
                    <a:stretch>
                      <a:fillRect/>
                    </a:stretch>
                  </pic:blipFill>
                  <pic:spPr>
                    <a:xfrm>
                      <a:off x="0" y="0"/>
                      <a:ext cx="4680000" cy="2340000"/>
                    </a:xfrm>
                    <a:prstGeom prst="rect"/>
                  </pic:spPr>
                </pic:pic>
              </a:graphicData>
            </a:graphic>
          </wp:inline>
        </w:drawing>
      </w:r>
    </w:p>
    <w:p>
      <w:pPr>
        <w:spacing w:line="300" w:lineRule="auto" w:before="0" w:after="120"/>
        <w:ind w:firstLine="0"/>
        <w:jc w:val="center"/>
      </w:pPr>
      <w:r>
        <w:rPr>
          <w:rFonts w:ascii="Times New Roman" w:hAnsi="Times New Roman" w:eastAsia="宋体"/>
          <w:b w:val="0"/>
          <w:sz w:val="21"/>
        </w:rPr>
        <w:t>图12  各配置7仰角KS统计量对比：扩散模型全部仰角通过且优于优秀线（0.02），CGAN在30°超出合格线（0.07）</w:t>
      </w:r>
    </w:p>
    <w:p>
      <w:pPr>
        <w:spacing w:line="240" w:lineRule="auto" w:before="120" w:after="40"/>
        <w:ind w:firstLine="0"/>
        <w:jc w:val="center"/>
      </w:pPr>
      <w:r>
        <w:drawing>
          <wp:inline xmlns:a="http://schemas.openxmlformats.org/drawingml/2006/main" xmlns:pic="http://schemas.openxmlformats.org/drawingml/2006/picture">
            <wp:extent cx="4680000" cy="2080000"/>
            <wp:docPr id="31" name="Picture 31"/>
            <wp:cNvGraphicFramePr>
              <a:graphicFrameLocks noChangeAspect="1"/>
            </wp:cNvGraphicFramePr>
            <a:graphic>
              <a:graphicData uri="http://schemas.openxmlformats.org/drawingml/2006/picture">
                <pic:pic>
                  <pic:nvPicPr>
                    <pic:cNvPr id="0" name="fig_temporal_comparison.png"/>
                    <pic:cNvPicPr/>
                  </pic:nvPicPr>
                  <pic:blipFill>
                    <a:blip r:embed="rId39"/>
                    <a:stretch>
                      <a:fillRect/>
                    </a:stretch>
                  </pic:blipFill>
                  <pic:spPr>
                    <a:xfrm>
                      <a:off x="0" y="0"/>
                      <a:ext cx="4680000" cy="2080000"/>
                    </a:xfrm>
                    <a:prstGeom prst="rect"/>
                  </pic:spPr>
                </pic:pic>
              </a:graphicData>
            </a:graphic>
          </wp:inline>
        </w:drawing>
      </w:r>
    </w:p>
    <w:p>
      <w:pPr>
        <w:spacing w:line="300" w:lineRule="auto" w:before="0" w:after="120"/>
        <w:ind w:firstLine="0"/>
        <w:jc w:val="center"/>
      </w:pPr>
      <w:r>
        <w:rPr>
          <w:rFonts w:ascii="Times New Roman" w:hAnsi="Times New Roman" w:eastAsia="宋体"/>
          <w:b w:val="0"/>
          <w:sz w:val="21"/>
        </w:rPr>
        <w:t>图13  时序特性指标对比：LCR/AFD相对RMSE（越低越好）</w:t>
      </w:r>
    </w:p>
    <w:p>
      <w:pPr>
        <w:spacing w:line="300" w:lineRule="auto" w:before="120" w:after="40"/>
        <w:ind w:firstLine="0"/>
        <w:jc w:val="center"/>
      </w:pPr>
      <w:r>
        <w:rPr>
          <w:rFonts w:ascii="Times New Roman" w:hAnsi="Times New Roman" w:eastAsia="宋体"/>
          <w:b w:val="0"/>
          <w:sz w:val="21"/>
        </w:rPr>
        <w:t>表5  条件扩散模型各采样配置的初步验收汇总（7仰角×500条）</w:t>
      </w:r>
    </w:p>
    <w:tbl>
      <w:tblPr>
        <w:tblW w:type="auto" w:w="0"/>
        <w:jc w:val="center"/>
        <w:tblLook w:firstColumn="1" w:firstRow="1" w:lastColumn="0" w:lastRow="0" w:noHBand="0" w:noVBand="1" w:val="04A0"/>
      </w:tblPr>
      <w:tblGrid>
        <w:gridCol w:w="1550"/>
        <w:gridCol w:w="1550"/>
        <w:gridCol w:w="1550"/>
        <w:gridCol w:w="1550"/>
        <w:gridCol w:w="1550"/>
        <w:gridCol w:w="1550"/>
      </w:tblGrid>
      <w:tr>
        <w:tc>
          <w:tcPr>
            <w:tcW w:type="dxa" w:w="1701"/>
            <w:vAlign w:val="center"/>
            <w:tcBorders>
              <w:left w:val="none" w:sz="0" w:space="0"/>
              <w:right w:val="none" w:sz="0" w:space="0"/>
              <w:top w:val="single" w:sz="8" w:space="0"/>
              <w:bottom w:val="single" w:sz="4" w:space="0"/>
            </w:tcBorders>
          </w:tcPr>
          <w:p>
            <w:pPr>
              <w:spacing w:line="276" w:lineRule="auto" w:before="0" w:after="0"/>
              <w:ind w:firstLine="0"/>
              <w:jc w:val="center"/>
            </w:pPr>
            <w:r/>
            <w:r>
              <w:rPr>
                <w:rFonts w:ascii="Times New Roman" w:hAnsi="Times New Roman" w:eastAsia="宋体"/>
                <w:b w:val="0"/>
                <w:sz w:val="20"/>
              </w:rPr>
              <w:t>配置</w:t>
            </w:r>
          </w:p>
        </w:tc>
        <w:tc>
          <w:tcPr>
            <w:tcW w:type="dxa" w:w="1134"/>
            <w:vAlign w:val="center"/>
            <w:tcBorders>
              <w:left w:val="none" w:sz="0" w:space="0"/>
              <w:right w:val="none" w:sz="0" w:space="0"/>
              <w:top w:val="single" w:sz="8" w:space="0"/>
              <w:bottom w:val="single" w:sz="4" w:space="0"/>
            </w:tcBorders>
          </w:tcPr>
          <w:p>
            <w:pPr>
              <w:spacing w:line="276" w:lineRule="auto" w:before="0" w:after="0"/>
              <w:ind w:firstLine="0"/>
              <w:jc w:val="center"/>
            </w:pPr>
            <w:r/>
            <w:r>
              <w:rPr>
                <w:rFonts w:ascii="Times New Roman" w:hAnsi="Times New Roman" w:eastAsia="宋体"/>
                <w:b w:val="0"/>
                <w:sz w:val="20"/>
              </w:rPr>
              <w:t>KS最大</w:t>
            </w:r>
          </w:p>
        </w:tc>
        <w:tc>
          <w:tcPr>
            <w:tcW w:type="dxa" w:w="1134"/>
            <w:vAlign w:val="center"/>
            <w:tcBorders>
              <w:left w:val="none" w:sz="0" w:space="0"/>
              <w:right w:val="none" w:sz="0" w:space="0"/>
              <w:top w:val="single" w:sz="8" w:space="0"/>
              <w:bottom w:val="single" w:sz="4" w:space="0"/>
            </w:tcBorders>
          </w:tcPr>
          <w:p>
            <w:pPr>
              <w:spacing w:line="276" w:lineRule="auto" w:before="0" w:after="0"/>
              <w:ind w:firstLine="0"/>
              <w:jc w:val="center"/>
            </w:pPr>
            <w:r/>
            <w:r>
              <w:rPr>
                <w:rFonts w:ascii="Times New Roman" w:hAnsi="Times New Roman" w:eastAsia="宋体"/>
                <w:b w:val="0"/>
                <w:sz w:val="20"/>
              </w:rPr>
              <w:t>KS均值</w:t>
            </w:r>
          </w:p>
        </w:tc>
        <w:tc>
          <w:tcPr>
            <w:tcW w:type="dxa" w:w="1417"/>
            <w:vAlign w:val="center"/>
            <w:tcBorders>
              <w:left w:val="none" w:sz="0" w:space="0"/>
              <w:right w:val="none" w:sz="0" w:space="0"/>
              <w:top w:val="single" w:sz="8" w:space="0"/>
              <w:bottom w:val="single" w:sz="4" w:space="0"/>
            </w:tcBorders>
          </w:tcPr>
          <w:p>
            <w:pPr>
              <w:spacing w:line="276" w:lineRule="auto" w:before="0" w:after="0"/>
              <w:ind w:firstLine="0"/>
              <w:jc w:val="center"/>
            </w:pPr>
            <w:r/>
            <w:r>
              <w:rPr>
                <w:rFonts w:ascii="Times New Roman" w:hAnsi="Times New Roman" w:eastAsia="宋体"/>
                <w:b w:val="0"/>
                <w:sz w:val="20"/>
              </w:rPr>
              <w:t>LCR rel均值</w:t>
            </w:r>
          </w:p>
        </w:tc>
        <w:tc>
          <w:tcPr>
            <w:tcW w:type="dxa" w:w="1417"/>
            <w:vAlign w:val="center"/>
            <w:tcBorders>
              <w:left w:val="none" w:sz="0" w:space="0"/>
              <w:right w:val="none" w:sz="0" w:space="0"/>
              <w:top w:val="single" w:sz="8" w:space="0"/>
              <w:bottom w:val="single" w:sz="4" w:space="0"/>
            </w:tcBorders>
          </w:tcPr>
          <w:p>
            <w:pPr>
              <w:spacing w:line="276" w:lineRule="auto" w:before="0" w:after="0"/>
              <w:ind w:firstLine="0"/>
              <w:jc w:val="center"/>
            </w:pPr>
            <w:r/>
            <w:r>
              <w:rPr>
                <w:rFonts w:ascii="Times New Roman" w:hAnsi="Times New Roman" w:eastAsia="宋体"/>
                <w:b w:val="0"/>
                <w:sz w:val="20"/>
              </w:rPr>
              <w:t>AFD rel均值</w:t>
            </w:r>
          </w:p>
        </w:tc>
        <w:tc>
          <w:tcPr>
            <w:tcW w:type="dxa" w:w="1701"/>
            <w:vAlign w:val="center"/>
            <w:tcBorders>
              <w:left w:val="none" w:sz="0" w:space="0"/>
              <w:right w:val="none" w:sz="0" w:space="0"/>
              <w:top w:val="single" w:sz="8" w:space="0"/>
              <w:bottom w:val="single" w:sz="4" w:space="0"/>
            </w:tcBorders>
          </w:tcPr>
          <w:p>
            <w:pPr>
              <w:spacing w:line="276" w:lineRule="auto" w:before="0" w:after="0"/>
              <w:ind w:firstLine="0"/>
              <w:jc w:val="center"/>
            </w:pPr>
            <w:r/>
            <w:r>
              <w:rPr>
                <w:rFonts w:ascii="Times New Roman" w:hAnsi="Times New Roman" w:eastAsia="宋体"/>
                <w:b w:val="0"/>
                <w:sz w:val="20"/>
              </w:rPr>
              <w:t>BER RMSE均值</w:t>
            </w:r>
          </w:p>
        </w:tc>
      </w:tr>
      <w:tr>
        <w:tc>
          <w:tcPr>
            <w:tcW w:type="dxa" w:w="1701"/>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DDIM-20</w:t>
            </w:r>
          </w:p>
        </w:tc>
        <w:tc>
          <w:tcPr>
            <w:tcW w:type="dxa" w:w="113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0.019</w:t>
            </w:r>
          </w:p>
        </w:tc>
        <w:tc>
          <w:tcPr>
            <w:tcW w:type="dxa" w:w="113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0.014</w:t>
            </w:r>
          </w:p>
        </w:tc>
        <w:tc>
          <w:tcPr>
            <w:tcW w:type="dxa" w:w="1417"/>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0.268</w:t>
            </w:r>
          </w:p>
        </w:tc>
        <w:tc>
          <w:tcPr>
            <w:tcW w:type="dxa" w:w="1417"/>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0.599</w:t>
            </w:r>
          </w:p>
        </w:tc>
        <w:tc>
          <w:tcPr>
            <w:tcW w:type="dxa" w:w="1701"/>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0.034</w:t>
            </w:r>
          </w:p>
        </w:tc>
      </w:tr>
      <w:tr>
        <w:tc>
          <w:tcPr>
            <w:tcW w:type="dxa" w:w="1701"/>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DDIM-50</w:t>
            </w:r>
          </w:p>
        </w:tc>
        <w:tc>
          <w:tcPr>
            <w:tcW w:type="dxa" w:w="113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0.010</w:t>
            </w:r>
          </w:p>
        </w:tc>
        <w:tc>
          <w:tcPr>
            <w:tcW w:type="dxa" w:w="113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0.006</w:t>
            </w:r>
          </w:p>
        </w:tc>
        <w:tc>
          <w:tcPr>
            <w:tcW w:type="dxa" w:w="1417"/>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0.153</w:t>
            </w:r>
          </w:p>
        </w:tc>
        <w:tc>
          <w:tcPr>
            <w:tcW w:type="dxa" w:w="1417"/>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0.396</w:t>
            </w:r>
          </w:p>
        </w:tc>
        <w:tc>
          <w:tcPr>
            <w:tcW w:type="dxa" w:w="1701"/>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0.025</w:t>
            </w:r>
          </w:p>
        </w:tc>
      </w:tr>
      <w:tr>
        <w:tc>
          <w:tcPr>
            <w:tcW w:type="dxa" w:w="1701"/>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DDIM-100</w:t>
            </w:r>
          </w:p>
        </w:tc>
        <w:tc>
          <w:tcPr>
            <w:tcW w:type="dxa" w:w="113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0.007</w:t>
            </w:r>
          </w:p>
        </w:tc>
        <w:tc>
          <w:tcPr>
            <w:tcW w:type="dxa" w:w="113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0.004</w:t>
            </w:r>
          </w:p>
        </w:tc>
        <w:tc>
          <w:tcPr>
            <w:tcW w:type="dxa" w:w="1417"/>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0.146</w:t>
            </w:r>
          </w:p>
        </w:tc>
        <w:tc>
          <w:tcPr>
            <w:tcW w:type="dxa" w:w="1417"/>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0.231</w:t>
            </w:r>
          </w:p>
        </w:tc>
        <w:tc>
          <w:tcPr>
            <w:tcW w:type="dxa" w:w="1701"/>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0.025</w:t>
            </w:r>
          </w:p>
        </w:tc>
      </w:tr>
      <w:tr>
        <w:tc>
          <w:tcPr>
            <w:tcW w:type="dxa" w:w="1701"/>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DDPM-1000</w:t>
            </w:r>
          </w:p>
        </w:tc>
        <w:tc>
          <w:tcPr>
            <w:tcW w:type="dxa" w:w="113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0.006</w:t>
            </w:r>
          </w:p>
        </w:tc>
        <w:tc>
          <w:tcPr>
            <w:tcW w:type="dxa" w:w="113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0.003</w:t>
            </w:r>
          </w:p>
        </w:tc>
        <w:tc>
          <w:tcPr>
            <w:tcW w:type="dxa" w:w="1417"/>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0.074</w:t>
            </w:r>
          </w:p>
        </w:tc>
        <w:tc>
          <w:tcPr>
            <w:tcW w:type="dxa" w:w="1417"/>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0.097</w:t>
            </w:r>
          </w:p>
        </w:tc>
        <w:tc>
          <w:tcPr>
            <w:tcW w:type="dxa" w:w="1701"/>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0.020</w:t>
            </w:r>
          </w:p>
        </w:tc>
      </w:tr>
      <w:tr>
        <w:tc>
          <w:tcPr>
            <w:tcW w:type="dxa" w:w="1701"/>
            <w:vAlign w:val="center"/>
            <w:tcBorders>
              <w:left w:val="none" w:sz="0" w:space="0"/>
              <w:right w:val="none" w:sz="0" w:space="0"/>
              <w:top w:val="none" w:sz="6" w:space="0"/>
              <w:bottom w:val="single" w:sz="8" w:space="0"/>
            </w:tcBorders>
          </w:tcPr>
          <w:p>
            <w:pPr>
              <w:spacing w:line="276" w:lineRule="auto" w:before="0" w:after="0"/>
              <w:ind w:firstLine="0"/>
              <w:jc w:val="center"/>
            </w:pPr>
            <w:r/>
            <w:r>
              <w:rPr>
                <w:rFonts w:ascii="Times New Roman" w:hAnsi="Times New Roman" w:eastAsia="宋体"/>
                <w:b/>
                <w:sz w:val="20"/>
              </w:rPr>
              <w:t>CGAN（对照）</w:t>
            </w:r>
          </w:p>
        </w:tc>
        <w:tc>
          <w:tcPr>
            <w:tcW w:type="dxa" w:w="1134"/>
            <w:vAlign w:val="center"/>
            <w:tcBorders>
              <w:left w:val="none" w:sz="0" w:space="0"/>
              <w:right w:val="none" w:sz="0" w:space="0"/>
              <w:top w:val="none" w:sz="6" w:space="0"/>
              <w:bottom w:val="single" w:sz="8" w:space="0"/>
            </w:tcBorders>
          </w:tcPr>
          <w:p>
            <w:pPr>
              <w:spacing w:line="276" w:lineRule="auto" w:before="0" w:after="0"/>
              <w:ind w:firstLine="0"/>
              <w:jc w:val="center"/>
            </w:pPr>
            <w:r/>
            <w:r>
              <w:rPr>
                <w:rFonts w:ascii="Times New Roman" w:hAnsi="Times New Roman" w:eastAsia="宋体"/>
                <w:b/>
                <w:sz w:val="20"/>
              </w:rPr>
              <w:t>0.130</w:t>
            </w:r>
          </w:p>
        </w:tc>
        <w:tc>
          <w:tcPr>
            <w:tcW w:type="dxa" w:w="1134"/>
            <w:vAlign w:val="center"/>
            <w:tcBorders>
              <w:left w:val="none" w:sz="0" w:space="0"/>
              <w:right w:val="none" w:sz="0" w:space="0"/>
              <w:top w:val="none" w:sz="6" w:space="0"/>
              <w:bottom w:val="single" w:sz="8" w:space="0"/>
            </w:tcBorders>
          </w:tcPr>
          <w:p>
            <w:pPr>
              <w:spacing w:line="276" w:lineRule="auto" w:before="0" w:after="0"/>
              <w:ind w:firstLine="0"/>
              <w:jc w:val="center"/>
            </w:pPr>
            <w:r/>
            <w:r>
              <w:rPr>
                <w:rFonts w:ascii="Times New Roman" w:hAnsi="Times New Roman" w:eastAsia="宋体"/>
                <w:b/>
                <w:sz w:val="20"/>
              </w:rPr>
              <w:t>0.053</w:t>
            </w:r>
          </w:p>
        </w:tc>
        <w:tc>
          <w:tcPr>
            <w:tcW w:type="dxa" w:w="1417"/>
            <w:vAlign w:val="center"/>
            <w:tcBorders>
              <w:left w:val="none" w:sz="0" w:space="0"/>
              <w:right w:val="none" w:sz="0" w:space="0"/>
              <w:top w:val="none" w:sz="6" w:space="0"/>
              <w:bottom w:val="single" w:sz="8" w:space="0"/>
            </w:tcBorders>
          </w:tcPr>
          <w:p>
            <w:pPr>
              <w:spacing w:line="276" w:lineRule="auto" w:before="0" w:after="0"/>
              <w:ind w:firstLine="0"/>
              <w:jc w:val="center"/>
            </w:pPr>
            <w:r/>
            <w:r>
              <w:rPr>
                <w:rFonts w:ascii="Times New Roman" w:hAnsi="Times New Roman" w:eastAsia="宋体"/>
                <w:b/>
                <w:sz w:val="20"/>
              </w:rPr>
              <w:t>0.370</w:t>
            </w:r>
          </w:p>
        </w:tc>
        <w:tc>
          <w:tcPr>
            <w:tcW w:type="dxa" w:w="1417"/>
            <w:vAlign w:val="center"/>
            <w:tcBorders>
              <w:left w:val="none" w:sz="0" w:space="0"/>
              <w:right w:val="none" w:sz="0" w:space="0"/>
              <w:top w:val="none" w:sz="6" w:space="0"/>
              <w:bottom w:val="single" w:sz="8" w:space="0"/>
            </w:tcBorders>
          </w:tcPr>
          <w:p>
            <w:pPr>
              <w:spacing w:line="276" w:lineRule="auto" w:before="0" w:after="0"/>
              <w:ind w:firstLine="0"/>
              <w:jc w:val="center"/>
            </w:pPr>
            <w:r/>
            <w:r>
              <w:rPr>
                <w:rFonts w:ascii="Times New Roman" w:hAnsi="Times New Roman" w:eastAsia="宋体"/>
                <w:b w:val="0"/>
                <w:sz w:val="20"/>
              </w:rPr>
              <w:t>—</w:t>
            </w:r>
          </w:p>
        </w:tc>
        <w:tc>
          <w:tcPr>
            <w:tcW w:type="dxa" w:w="1701"/>
            <w:vAlign w:val="center"/>
            <w:tcBorders>
              <w:left w:val="none" w:sz="0" w:space="0"/>
              <w:right w:val="none" w:sz="0" w:space="0"/>
              <w:top w:val="none" w:sz="6" w:space="0"/>
              <w:bottom w:val="single" w:sz="8" w:space="0"/>
            </w:tcBorders>
          </w:tcPr>
          <w:p>
            <w:pPr>
              <w:spacing w:line="276" w:lineRule="auto" w:before="0" w:after="0"/>
              <w:ind w:firstLine="0"/>
              <w:jc w:val="center"/>
            </w:pPr>
            <w:r/>
            <w:r>
              <w:rPr>
                <w:rFonts w:ascii="Times New Roman" w:hAnsi="Times New Roman" w:eastAsia="宋体"/>
                <w:b/>
                <w:sz w:val="20"/>
              </w:rPr>
              <w:t>0.087</w:t>
            </w:r>
          </w:p>
        </w:tc>
      </w:tr>
    </w:tbl>
    <w:p>
      <w:pPr>
        <w:spacing w:line="276" w:lineRule="auto" w:before="40" w:after="120"/>
        <w:ind w:firstLine="0"/>
        <w:jc w:val="left"/>
      </w:pPr>
      <w:r>
        <w:rPr>
          <w:rFonts w:ascii="Times New Roman" w:hAnsi="Times New Roman" w:eastAsia="宋体"/>
          <w:b w:val="0"/>
          <w:sz w:val="18"/>
        </w:rPr>
        <w:t>注：AFD均值仅统计有穿越事件的仰角；Spearman ρs：全部扩散配置=1.000，CGAN≈0.99。</w:t>
      </w:r>
    </w:p>
    <w:p>
      <w:pPr>
        <w:spacing w:line="300" w:lineRule="auto" w:before="40" w:after="40"/>
        <w:ind w:firstLine="0"/>
        <w:jc w:val="left"/>
      </w:pPr>
      <w:r>
        <w:rPr>
          <w:rFonts w:ascii="Times New Roman" w:hAnsi="Times New Roman" w:eastAsia="黑体"/>
          <w:b/>
          <w:sz w:val="24"/>
        </w:rPr>
        <w:t>5. 采样效率基准</w:t>
      </w:r>
    </w:p>
    <w:p>
      <w:pPr>
        <w:spacing w:line="300" w:lineRule="auto" w:before="0" w:after="0"/>
        <w:ind w:firstLine="480"/>
        <w:jc w:val="both"/>
      </w:pPr>
      <w:r>
        <w:rPr>
          <w:rFonts w:ascii="Times New Roman" w:hAnsi="Times New Roman" w:eastAsia="宋体"/>
          <w:b w:val="0"/>
          <w:sz w:val="24"/>
        </w:rPr>
        <w:t>按统一协议（吞吐：每仰角500条、batch=64；延迟：单条45°重复5次取中位数；仅计纯生成时间，cuda同步计时）测定各配置采样成本，结果见表6与图14。</w:t>
      </w:r>
    </w:p>
    <w:p>
      <w:pPr>
        <w:spacing w:line="300" w:lineRule="auto" w:before="120" w:after="40"/>
        <w:ind w:firstLine="0"/>
        <w:jc w:val="center"/>
      </w:pPr>
      <w:r>
        <w:rPr>
          <w:rFonts w:ascii="Times New Roman" w:hAnsi="Times New Roman" w:eastAsia="宋体"/>
          <w:b w:val="0"/>
          <w:sz w:val="21"/>
        </w:rPr>
        <w:t>表6  采样效率基准（同一GPU环境）</w:t>
      </w:r>
    </w:p>
    <w:tbl>
      <w:tblPr>
        <w:tblW w:type="auto" w:w="0"/>
        <w:jc w:val="center"/>
        <w:tblLook w:firstColumn="1" w:firstRow="1" w:lastColumn="0" w:lastRow="0" w:noHBand="0" w:noVBand="1" w:val="04A0"/>
      </w:tblPr>
      <w:tblGrid>
        <w:gridCol w:w="1860"/>
        <w:gridCol w:w="1860"/>
        <w:gridCol w:w="1860"/>
        <w:gridCol w:w="1860"/>
        <w:gridCol w:w="1860"/>
      </w:tblGrid>
      <w:tr>
        <w:tc>
          <w:tcPr>
            <w:tcW w:type="dxa" w:w="1701"/>
            <w:vAlign w:val="center"/>
            <w:tcBorders>
              <w:left w:val="none" w:sz="0" w:space="0"/>
              <w:right w:val="none" w:sz="0" w:space="0"/>
              <w:top w:val="single" w:sz="8" w:space="0"/>
              <w:bottom w:val="single" w:sz="4" w:space="0"/>
            </w:tcBorders>
          </w:tcPr>
          <w:p>
            <w:pPr>
              <w:spacing w:line="276" w:lineRule="auto" w:before="0" w:after="0"/>
              <w:ind w:firstLine="0"/>
              <w:jc w:val="center"/>
            </w:pPr>
            <w:r/>
            <w:r>
              <w:rPr>
                <w:rFonts w:ascii="Times New Roman" w:hAnsi="Times New Roman" w:eastAsia="宋体"/>
                <w:b w:val="0"/>
                <w:sz w:val="20"/>
              </w:rPr>
              <w:t>配置</w:t>
            </w:r>
          </w:p>
        </w:tc>
        <w:tc>
          <w:tcPr>
            <w:tcW w:type="dxa" w:w="1701"/>
            <w:vAlign w:val="center"/>
            <w:tcBorders>
              <w:left w:val="none" w:sz="0" w:space="0"/>
              <w:right w:val="none" w:sz="0" w:space="0"/>
              <w:top w:val="single" w:sz="8" w:space="0"/>
              <w:bottom w:val="single" w:sz="4" w:space="0"/>
            </w:tcBorders>
          </w:tcPr>
          <w:p>
            <w:pPr>
              <w:spacing w:line="276" w:lineRule="auto" w:before="0" w:after="0"/>
              <w:ind w:firstLine="0"/>
              <w:jc w:val="center"/>
            </w:pPr>
            <w:r/>
            <w:r>
              <w:rPr>
                <w:rFonts w:ascii="Times New Roman" w:hAnsi="Times New Roman" w:eastAsia="宋体"/>
                <w:b w:val="0"/>
                <w:sz w:val="20"/>
              </w:rPr>
              <w:t>单条延迟(ms)</w:t>
            </w:r>
          </w:p>
        </w:tc>
        <w:tc>
          <w:tcPr>
            <w:tcW w:type="dxa" w:w="1984"/>
            <w:vAlign w:val="center"/>
            <w:tcBorders>
              <w:left w:val="none" w:sz="0" w:space="0"/>
              <w:right w:val="none" w:sz="0" w:space="0"/>
              <w:top w:val="single" w:sz="8" w:space="0"/>
              <w:bottom w:val="single" w:sz="4" w:space="0"/>
            </w:tcBorders>
          </w:tcPr>
          <w:p>
            <w:pPr>
              <w:spacing w:line="276" w:lineRule="auto" w:before="0" w:after="0"/>
              <w:ind w:firstLine="0"/>
              <w:jc w:val="center"/>
            </w:pPr>
            <w:r/>
            <w:r>
              <w:rPr>
                <w:rFonts w:ascii="Times New Roman" w:hAnsi="Times New Roman" w:eastAsia="宋体"/>
                <w:b w:val="0"/>
                <w:sz w:val="20"/>
              </w:rPr>
              <w:t>批量吞吐(序列/s)</w:t>
            </w:r>
          </w:p>
        </w:tc>
        <w:tc>
          <w:tcPr>
            <w:tcW w:type="dxa" w:w="1417"/>
            <w:vAlign w:val="center"/>
            <w:tcBorders>
              <w:left w:val="none" w:sz="0" w:space="0"/>
              <w:right w:val="none" w:sz="0" w:space="0"/>
              <w:top w:val="single" w:sz="8" w:space="0"/>
              <w:bottom w:val="single" w:sz="4" w:space="0"/>
            </w:tcBorders>
          </w:tcPr>
          <w:p>
            <w:pPr>
              <w:spacing w:line="276" w:lineRule="auto" w:before="0" w:after="0"/>
              <w:ind w:firstLine="0"/>
              <w:jc w:val="center"/>
            </w:pPr>
            <w:r/>
            <w:r>
              <w:rPr>
                <w:rFonts w:ascii="Times New Roman" w:hAnsi="Times New Roman" w:eastAsia="宋体"/>
                <w:b w:val="0"/>
                <w:sz w:val="20"/>
              </w:rPr>
              <w:t>KS均值</w:t>
            </w:r>
          </w:p>
        </w:tc>
        <w:tc>
          <w:tcPr>
            <w:tcW w:type="dxa" w:w="1701"/>
            <w:vAlign w:val="center"/>
            <w:tcBorders>
              <w:left w:val="none" w:sz="0" w:space="0"/>
              <w:right w:val="none" w:sz="0" w:space="0"/>
              <w:top w:val="single" w:sz="8" w:space="0"/>
              <w:bottom w:val="single" w:sz="4" w:space="0"/>
            </w:tcBorders>
          </w:tcPr>
          <w:p>
            <w:pPr>
              <w:spacing w:line="276" w:lineRule="auto" w:before="0" w:after="0"/>
              <w:ind w:firstLine="0"/>
              <w:jc w:val="center"/>
            </w:pPr>
            <w:r/>
            <w:r>
              <w:rPr>
                <w:rFonts w:ascii="Times New Roman" w:hAnsi="Times New Roman" w:eastAsia="宋体"/>
                <w:b w:val="0"/>
                <w:sz w:val="20"/>
              </w:rPr>
              <w:t>BER RMSE均值</w:t>
            </w:r>
          </w:p>
        </w:tc>
      </w:tr>
      <w:tr>
        <w:tc>
          <w:tcPr>
            <w:tcW w:type="dxa" w:w="1701"/>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CGAN</w:t>
            </w:r>
          </w:p>
        </w:tc>
        <w:tc>
          <w:tcPr>
            <w:tcW w:type="dxa" w:w="1701"/>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2.1</w:t>
            </w:r>
          </w:p>
        </w:tc>
        <w:tc>
          <w:tcPr>
            <w:tcW w:type="dxa" w:w="198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≈1.1×10⁴</w:t>
            </w:r>
          </w:p>
        </w:tc>
        <w:tc>
          <w:tcPr>
            <w:tcW w:type="dxa" w:w="1417"/>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0.053</w:t>
            </w:r>
          </w:p>
        </w:tc>
        <w:tc>
          <w:tcPr>
            <w:tcW w:type="dxa" w:w="1701"/>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0.087</w:t>
            </w:r>
          </w:p>
        </w:tc>
      </w:tr>
      <w:tr>
        <w:tc>
          <w:tcPr>
            <w:tcW w:type="dxa" w:w="1701"/>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DDIM-20</w:t>
            </w:r>
          </w:p>
        </w:tc>
        <w:tc>
          <w:tcPr>
            <w:tcW w:type="dxa" w:w="1701"/>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113.5</w:t>
            </w:r>
          </w:p>
        </w:tc>
        <w:tc>
          <w:tcPr>
            <w:tcW w:type="dxa" w:w="198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143.8</w:t>
            </w:r>
          </w:p>
        </w:tc>
        <w:tc>
          <w:tcPr>
            <w:tcW w:type="dxa" w:w="1417"/>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0.014</w:t>
            </w:r>
          </w:p>
        </w:tc>
        <w:tc>
          <w:tcPr>
            <w:tcW w:type="dxa" w:w="1701"/>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0.034</w:t>
            </w:r>
          </w:p>
        </w:tc>
      </w:tr>
      <w:tr>
        <w:tc>
          <w:tcPr>
            <w:tcW w:type="dxa" w:w="1701"/>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DDIM-50</w:t>
            </w:r>
          </w:p>
        </w:tc>
        <w:tc>
          <w:tcPr>
            <w:tcW w:type="dxa" w:w="1701"/>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283.9</w:t>
            </w:r>
          </w:p>
        </w:tc>
        <w:tc>
          <w:tcPr>
            <w:tcW w:type="dxa" w:w="198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57.3</w:t>
            </w:r>
          </w:p>
        </w:tc>
        <w:tc>
          <w:tcPr>
            <w:tcW w:type="dxa" w:w="1417"/>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0.006</w:t>
            </w:r>
          </w:p>
        </w:tc>
        <w:tc>
          <w:tcPr>
            <w:tcW w:type="dxa" w:w="1701"/>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0.025</w:t>
            </w:r>
          </w:p>
        </w:tc>
      </w:tr>
      <w:tr>
        <w:tc>
          <w:tcPr>
            <w:tcW w:type="dxa" w:w="1701"/>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DDIM-100</w:t>
            </w:r>
          </w:p>
        </w:tc>
        <w:tc>
          <w:tcPr>
            <w:tcW w:type="dxa" w:w="1701"/>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576.4</w:t>
            </w:r>
          </w:p>
        </w:tc>
        <w:tc>
          <w:tcPr>
            <w:tcW w:type="dxa" w:w="1984"/>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28.7</w:t>
            </w:r>
          </w:p>
        </w:tc>
        <w:tc>
          <w:tcPr>
            <w:tcW w:type="dxa" w:w="1417"/>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0.004</w:t>
            </w:r>
          </w:p>
        </w:tc>
        <w:tc>
          <w:tcPr>
            <w:tcW w:type="dxa" w:w="1701"/>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0"/>
              </w:rPr>
              <w:t>0.025</w:t>
            </w:r>
          </w:p>
        </w:tc>
      </w:tr>
      <w:tr>
        <w:tc>
          <w:tcPr>
            <w:tcW w:type="dxa" w:w="1701"/>
            <w:vAlign w:val="center"/>
            <w:tcBorders>
              <w:left w:val="none" w:sz="0" w:space="0"/>
              <w:right w:val="none" w:sz="0" w:space="0"/>
              <w:top w:val="none" w:sz="6" w:space="0"/>
              <w:bottom w:val="single" w:sz="8" w:space="0"/>
            </w:tcBorders>
          </w:tcPr>
          <w:p>
            <w:pPr>
              <w:spacing w:line="276" w:lineRule="auto" w:before="0" w:after="0"/>
              <w:ind w:firstLine="0"/>
              <w:jc w:val="center"/>
            </w:pPr>
            <w:r/>
            <w:r>
              <w:rPr>
                <w:rFonts w:ascii="Times New Roman" w:hAnsi="Times New Roman" w:eastAsia="宋体"/>
                <w:b w:val="0"/>
                <w:sz w:val="20"/>
              </w:rPr>
              <w:t>DDPM-1000</w:t>
            </w:r>
          </w:p>
        </w:tc>
        <w:tc>
          <w:tcPr>
            <w:tcW w:type="dxa" w:w="1701"/>
            <w:vAlign w:val="center"/>
            <w:tcBorders>
              <w:left w:val="none" w:sz="0" w:space="0"/>
              <w:right w:val="none" w:sz="0" w:space="0"/>
              <w:top w:val="none" w:sz="6" w:space="0"/>
              <w:bottom w:val="single" w:sz="8" w:space="0"/>
            </w:tcBorders>
          </w:tcPr>
          <w:p>
            <w:pPr>
              <w:spacing w:line="276" w:lineRule="auto" w:before="0" w:after="0"/>
              <w:ind w:firstLine="0"/>
              <w:jc w:val="center"/>
            </w:pPr>
            <w:r/>
            <w:r>
              <w:rPr>
                <w:rFonts w:ascii="Times New Roman" w:hAnsi="Times New Roman" w:eastAsia="宋体"/>
                <w:b w:val="0"/>
                <w:sz w:val="20"/>
              </w:rPr>
              <w:t>5722.5</w:t>
            </w:r>
          </w:p>
        </w:tc>
        <w:tc>
          <w:tcPr>
            <w:tcW w:type="dxa" w:w="1984"/>
            <w:vAlign w:val="center"/>
            <w:tcBorders>
              <w:left w:val="none" w:sz="0" w:space="0"/>
              <w:right w:val="none" w:sz="0" w:space="0"/>
              <w:top w:val="none" w:sz="6" w:space="0"/>
              <w:bottom w:val="single" w:sz="8" w:space="0"/>
            </w:tcBorders>
          </w:tcPr>
          <w:p>
            <w:pPr>
              <w:spacing w:line="276" w:lineRule="auto" w:before="0" w:after="0"/>
              <w:ind w:firstLine="0"/>
              <w:jc w:val="center"/>
            </w:pPr>
            <w:r/>
            <w:r>
              <w:rPr>
                <w:rFonts w:ascii="Times New Roman" w:hAnsi="Times New Roman" w:eastAsia="宋体"/>
                <w:b w:val="0"/>
                <w:sz w:val="20"/>
              </w:rPr>
              <w:t>2.9</w:t>
            </w:r>
          </w:p>
        </w:tc>
        <w:tc>
          <w:tcPr>
            <w:tcW w:type="dxa" w:w="1417"/>
            <w:vAlign w:val="center"/>
            <w:tcBorders>
              <w:left w:val="none" w:sz="0" w:space="0"/>
              <w:right w:val="none" w:sz="0" w:space="0"/>
              <w:top w:val="none" w:sz="6" w:space="0"/>
              <w:bottom w:val="single" w:sz="8" w:space="0"/>
            </w:tcBorders>
          </w:tcPr>
          <w:p>
            <w:pPr>
              <w:spacing w:line="276" w:lineRule="auto" w:before="0" w:after="0"/>
              <w:ind w:firstLine="0"/>
              <w:jc w:val="center"/>
            </w:pPr>
            <w:r/>
            <w:r>
              <w:rPr>
                <w:rFonts w:ascii="Times New Roman" w:hAnsi="Times New Roman" w:eastAsia="宋体"/>
                <w:b w:val="0"/>
                <w:sz w:val="20"/>
              </w:rPr>
              <w:t>0.003</w:t>
            </w:r>
          </w:p>
        </w:tc>
        <w:tc>
          <w:tcPr>
            <w:tcW w:type="dxa" w:w="1701"/>
            <w:vAlign w:val="center"/>
            <w:tcBorders>
              <w:left w:val="none" w:sz="0" w:space="0"/>
              <w:right w:val="none" w:sz="0" w:space="0"/>
              <w:top w:val="none" w:sz="6" w:space="0"/>
              <w:bottom w:val="single" w:sz="8" w:space="0"/>
            </w:tcBorders>
          </w:tcPr>
          <w:p>
            <w:pPr>
              <w:spacing w:line="276" w:lineRule="auto" w:before="0" w:after="0"/>
              <w:ind w:firstLine="0"/>
              <w:jc w:val="center"/>
            </w:pPr>
            <w:r/>
            <w:r>
              <w:rPr>
                <w:rFonts w:ascii="Times New Roman" w:hAnsi="Times New Roman" w:eastAsia="宋体"/>
                <w:b w:val="0"/>
                <w:sz w:val="20"/>
              </w:rPr>
              <w:t>0.020</w:t>
            </w:r>
          </w:p>
        </w:tc>
      </w:tr>
    </w:tbl>
    <w:p>
      <w:pPr>
        <w:spacing w:line="240" w:lineRule="auto" w:before="120" w:after="40"/>
        <w:ind w:firstLine="0"/>
        <w:jc w:val="center"/>
      </w:pPr>
      <w:r>
        <w:drawing>
          <wp:inline xmlns:a="http://schemas.openxmlformats.org/drawingml/2006/main" xmlns:pic="http://schemas.openxmlformats.org/drawingml/2006/picture">
            <wp:extent cx="5040000" cy="1989474"/>
            <wp:docPr id="32" name="Picture 32"/>
            <wp:cNvGraphicFramePr>
              <a:graphicFrameLocks noChangeAspect="1"/>
            </wp:cNvGraphicFramePr>
            <a:graphic>
              <a:graphicData uri="http://schemas.openxmlformats.org/drawingml/2006/picture">
                <pic:pic>
                  <pic:nvPicPr>
                    <pic:cNvPr id="0" name="fig_tradeoff.png"/>
                    <pic:cNvPicPr/>
                  </pic:nvPicPr>
                  <pic:blipFill>
                    <a:blip r:embed="rId40"/>
                    <a:stretch>
                      <a:fillRect/>
                    </a:stretch>
                  </pic:blipFill>
                  <pic:spPr>
                    <a:xfrm>
                      <a:off x="0" y="0"/>
                      <a:ext cx="5040000" cy="1989474"/>
                    </a:xfrm>
                    <a:prstGeom prst="rect"/>
                  </pic:spPr>
                </pic:pic>
              </a:graphicData>
            </a:graphic>
          </wp:inline>
        </w:drawing>
      </w:r>
    </w:p>
    <w:p>
      <w:pPr>
        <w:spacing w:line="300" w:lineRule="auto" w:before="0" w:after="120"/>
        <w:ind w:firstLine="0"/>
        <w:jc w:val="center"/>
      </w:pPr>
      <w:r>
        <w:rPr>
          <w:rFonts w:ascii="Times New Roman" w:hAnsi="Times New Roman" w:eastAsia="宋体"/>
          <w:b w:val="0"/>
          <w:sz w:val="21"/>
        </w:rPr>
        <w:t>图14  质量—成本折中：(a) 分布保真（KS均值）；(b) 单条延迟（对数轴）；(c) 批量吞吐（对数轴）</w:t>
      </w:r>
    </w:p>
    <w:p>
      <w:pPr>
        <w:spacing w:line="300" w:lineRule="auto" w:before="0" w:after="0"/>
        <w:ind w:firstLine="480"/>
        <w:jc w:val="both"/>
      </w:pPr>
      <w:r>
        <w:rPr>
          <w:rFonts w:ascii="Times New Roman" w:hAnsi="Times New Roman" w:eastAsia="宋体"/>
          <w:b w:val="0"/>
          <w:sz w:val="24"/>
        </w:rPr>
        <w:t>初步分析：CGAN单条延迟2.1 ms、吞吐逾万条/秒，采样效率优势显著；扩散模型延迟随步数线性增长，DDIM-20（113.5 ms）与CGAN差距约54倍，但批量吞吐（143.8序列/s）已可满足离线批量生成需求。质量维度上，DDIM-20步即满足分布保真（KS均值0.014，优于CGAN的0.053），50步起BER指标反超CGAN均值水平；DDIM-100与DDIM-50的KS几乎持平，表明质量收益在50步后趋于饱和。"DDIM-20为离线常规用途的甜点配置"是当前数据支持的初步工程结论，正式研究将在连续仰角与更大样本量下复核该折中曲线。</w:t>
      </w:r>
    </w:p>
    <w:p>
      <w:pPr>
        <w:spacing w:line="300" w:lineRule="auto" w:before="40" w:after="40"/>
        <w:ind w:firstLine="0"/>
        <w:jc w:val="left"/>
      </w:pPr>
      <w:r>
        <w:rPr>
          <w:rFonts w:ascii="Times New Roman" w:hAnsi="Times New Roman" w:eastAsia="黑体"/>
          <w:b/>
          <w:sz w:val="24"/>
        </w:rPr>
        <w:t>6. 初步结论与对后续研究的启示</w:t>
      </w:r>
    </w:p>
    <w:p>
      <w:pPr>
        <w:spacing w:line="300" w:lineRule="auto" w:before="0" w:after="0"/>
        <w:ind w:firstLine="480"/>
        <w:jc w:val="both"/>
      </w:pPr>
      <w:r>
        <w:rPr>
          <w:rFonts w:ascii="Times New Roman" w:hAnsi="Times New Roman" w:eastAsia="宋体"/>
          <w:b w:val="0"/>
          <w:sz w:val="24"/>
        </w:rPr>
        <w:t>综合前期结果，可提炼五点初步结论：</w:t>
      </w:r>
    </w:p>
    <w:p>
      <w:pPr>
        <w:spacing w:line="300" w:lineRule="auto" w:before="0" w:after="0"/>
        <w:ind w:firstLine="480"/>
        <w:jc w:val="both"/>
      </w:pPr>
      <w:r>
        <w:rPr>
          <w:rFonts w:ascii="Times New Roman" w:hAnsi="Times New Roman" w:eastAsia="宋体"/>
          <w:b/>
          <w:sz w:val="24"/>
        </w:rPr>
        <w:t>（1）</w:t>
      </w:r>
      <w:r>
        <w:rPr>
          <w:rFonts w:ascii="Times New Roman" w:hAnsi="Times New Roman" w:eastAsia="宋体"/>
          <w:b w:val="0"/>
          <w:sz w:val="24"/>
        </w:rPr>
        <w:t>分布保真：条件扩散模型全配置、全仰角KS统计量（最大0.019）显著优于CGAN复现结果（均值0.053，30°失败0.130），达到优秀线水平；</w:t>
      </w:r>
    </w:p>
    <w:p>
      <w:pPr>
        <w:spacing w:line="300" w:lineRule="auto" w:before="0" w:after="0"/>
        <w:ind w:firstLine="480"/>
        <w:jc w:val="both"/>
      </w:pPr>
      <w:r>
        <w:rPr>
          <w:rFonts w:ascii="Times New Roman" w:hAnsi="Times New Roman" w:eastAsia="宋体"/>
          <w:b/>
          <w:sz w:val="24"/>
        </w:rPr>
        <w:t>（2）</w:t>
      </w:r>
      <w:r>
        <w:rPr>
          <w:rFonts w:ascii="Times New Roman" w:hAnsi="Times New Roman" w:eastAsia="宋体"/>
          <w:b w:val="0"/>
          <w:sz w:val="24"/>
        </w:rPr>
        <w:t>时序保持：扩散模型LCR/AFD相对RMSE全面低于CGAN，且随采样步数增加持续改善，验证了"迭代去噪机制适配时序相关结构"的研究假设的初步成立方向；</w:t>
      </w:r>
    </w:p>
    <w:p>
      <w:pPr>
        <w:spacing w:line="300" w:lineRule="auto" w:before="0" w:after="0"/>
        <w:ind w:firstLine="480"/>
        <w:jc w:val="both"/>
      </w:pPr>
      <w:r>
        <w:rPr>
          <w:rFonts w:ascii="Times New Roman" w:hAnsi="Times New Roman" w:eastAsia="宋体"/>
          <w:b/>
          <w:sz w:val="24"/>
        </w:rPr>
        <w:t>（3）</w:t>
      </w:r>
      <w:r>
        <w:rPr>
          <w:rFonts w:ascii="Times New Roman" w:hAnsi="Times New Roman" w:eastAsia="宋体"/>
          <w:b w:val="0"/>
          <w:sz w:val="24"/>
        </w:rPr>
        <w:t>条件一致性：扩散模型仰角-均值曲线紧贴参考（ρs=1.000），CGAN存在条件漂移的结构性短板，两种条件注入机制（通道拼接vs FiLM）的差异是重要变量；</w:t>
      </w:r>
    </w:p>
    <w:p>
      <w:pPr>
        <w:spacing w:line="300" w:lineRule="auto" w:before="0" w:after="0"/>
        <w:ind w:firstLine="480"/>
        <w:jc w:val="both"/>
      </w:pPr>
      <w:r>
        <w:rPr>
          <w:rFonts w:ascii="Times New Roman" w:hAnsi="Times New Roman" w:eastAsia="宋体"/>
          <w:b/>
          <w:sz w:val="24"/>
        </w:rPr>
        <w:t>（4）</w:t>
      </w:r>
      <w:r>
        <w:rPr>
          <w:rFonts w:ascii="Times New Roman" w:hAnsi="Times New Roman" w:eastAsia="宋体"/>
          <w:b w:val="0"/>
          <w:sz w:val="24"/>
        </w:rPr>
        <w:t>训练稳定性：扩散训练损失平滑单调，CGAN训练需WGAN-GP+TTUR+EMA多重技巧且仍存在条件间拖拽；</w:t>
      </w:r>
    </w:p>
    <w:p>
      <w:pPr>
        <w:spacing w:line="300" w:lineRule="auto" w:before="0" w:after="0"/>
        <w:ind w:firstLine="480"/>
        <w:jc w:val="both"/>
      </w:pPr>
      <w:r>
        <w:rPr>
          <w:rFonts w:ascii="Times New Roman" w:hAnsi="Times New Roman" w:eastAsia="宋体"/>
          <w:b/>
          <w:sz w:val="24"/>
        </w:rPr>
        <w:t>（5）</w:t>
      </w:r>
      <w:r>
        <w:rPr>
          <w:rFonts w:ascii="Times New Roman" w:hAnsi="Times New Roman" w:eastAsia="宋体"/>
          <w:b w:val="0"/>
          <w:sz w:val="24"/>
        </w:rPr>
        <w:t>工程成本：扩散采样延迟约为CGAN的54倍（DDIM-20），质量收益在50步后饱和，存在明确的工程甜点。</w:t>
      </w:r>
    </w:p>
    <w:p>
      <w:pPr>
        <w:spacing w:line="300" w:lineRule="auto" w:before="0" w:after="0"/>
        <w:ind w:firstLine="480"/>
        <w:jc w:val="both"/>
      </w:pPr>
      <w:r>
        <w:rPr>
          <w:rFonts w:ascii="Times New Roman" w:hAnsi="Times New Roman" w:eastAsia="宋体"/>
          <w:b w:val="0"/>
          <w:sz w:val="24"/>
        </w:rPr>
        <w:t>上述结论目前基于单数据集（Corazza）、单任务（一维包络）与初步训练配置，正式研究将沿三条线深化：其一，系统性训练调优后复核全部指标并补齐训练稳定性定量对比；其二，开展连续仰角泛化测试与跨数据源稳健性检验；其三，引入实测信道数据检验结论的外部有效性。</w:t>
      </w:r>
    </w:p>
    <w:p>
      <w:pPr>
        <w:spacing w:line="300" w:lineRule="auto" w:before="40" w:after="40"/>
        <w:ind w:firstLine="0"/>
        <w:jc w:val="left"/>
      </w:pPr>
      <w:r>
        <w:rPr>
          <w:rFonts w:ascii="Times New Roman" w:hAnsi="Times New Roman" w:eastAsia="黑体"/>
          <w:b/>
          <w:sz w:val="24"/>
        </w:rPr>
        <w:t>（二）正式研究进度安排</w:t>
      </w:r>
    </w:p>
    <w:p>
      <w:pPr>
        <w:spacing w:line="300" w:lineRule="auto" w:before="0" w:after="0"/>
        <w:ind w:firstLine="480"/>
        <w:jc w:val="both"/>
      </w:pPr>
      <w:r>
        <w:rPr>
          <w:rFonts w:ascii="Times New Roman" w:hAnsi="Times New Roman" w:eastAsia="宋体"/>
          <w:b w:val="0"/>
          <w:sz w:val="24"/>
        </w:rPr>
        <w:t>见前期工作基础：已完成数据管线、指标库、CGAN基线复现与扩散模型初步实现，端到端技术路线已贯通。正式研究进度安排见表7。</w:t>
      </w:r>
    </w:p>
    <w:p>
      <w:pPr>
        <w:spacing w:line="300" w:lineRule="auto" w:before="120" w:after="40"/>
        <w:ind w:firstLine="0"/>
        <w:jc w:val="center"/>
      </w:pPr>
      <w:r>
        <w:rPr>
          <w:rFonts w:ascii="Times New Roman" w:hAnsi="Times New Roman" w:eastAsia="宋体"/>
          <w:b w:val="0"/>
          <w:sz w:val="21"/>
        </w:rPr>
        <w:t>表7  正式研究进度安排</w:t>
      </w:r>
    </w:p>
    <w:tbl>
      <w:tblPr>
        <w:tblW w:type="auto" w:w="0"/>
        <w:jc w:val="center"/>
        <w:tblLook w:firstColumn="1" w:firstRow="1" w:lastColumn="0" w:lastRow="0" w:noHBand="0" w:noVBand="1" w:val="04A0"/>
      </w:tblPr>
      <w:tblGrid>
        <w:gridCol w:w="4649"/>
        <w:gridCol w:w="4649"/>
      </w:tblGrid>
      <w:tr>
        <w:tc>
          <w:tcPr>
            <w:tcW w:type="dxa" w:w="1701"/>
            <w:vAlign w:val="center"/>
            <w:tcBorders>
              <w:left w:val="none" w:sz="0" w:space="0"/>
              <w:right w:val="none" w:sz="0" w:space="0"/>
              <w:top w:val="single" w:sz="8" w:space="0"/>
              <w:bottom w:val="single" w:sz="4" w:space="0"/>
            </w:tcBorders>
          </w:tcPr>
          <w:p>
            <w:pPr>
              <w:spacing w:line="276" w:lineRule="auto" w:before="0" w:after="0"/>
              <w:ind w:firstLine="0"/>
              <w:jc w:val="center"/>
            </w:pPr>
            <w:r/>
            <w:r>
              <w:rPr>
                <w:rFonts w:ascii="Times New Roman" w:hAnsi="Times New Roman" w:eastAsia="宋体"/>
                <w:b w:val="0"/>
                <w:sz w:val="21"/>
              </w:rPr>
              <w:t>周次</w:t>
            </w:r>
          </w:p>
        </w:tc>
        <w:tc>
          <w:tcPr>
            <w:tcW w:type="dxa" w:w="6803"/>
            <w:vAlign w:val="center"/>
            <w:tcBorders>
              <w:left w:val="none" w:sz="0" w:space="0"/>
              <w:right w:val="none" w:sz="0" w:space="0"/>
              <w:top w:val="single" w:sz="8" w:space="0"/>
              <w:bottom w:val="single" w:sz="4" w:space="0"/>
            </w:tcBorders>
          </w:tcPr>
          <w:p>
            <w:pPr>
              <w:spacing w:line="276" w:lineRule="auto" w:before="0" w:after="0"/>
              <w:ind w:firstLine="0"/>
              <w:jc w:val="center"/>
            </w:pPr>
            <w:r/>
            <w:r>
              <w:rPr>
                <w:rFonts w:ascii="Times New Roman" w:hAnsi="Times New Roman" w:eastAsia="宋体"/>
                <w:b w:val="0"/>
                <w:sz w:val="21"/>
              </w:rPr>
              <w:t>工作内容</w:t>
            </w:r>
          </w:p>
        </w:tc>
      </w:tr>
      <w:tr>
        <w:tc>
          <w:tcPr>
            <w:tcW w:type="dxa" w:w="1701"/>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1"/>
              </w:rPr>
              <w:t>第1~3周</w:t>
            </w:r>
          </w:p>
        </w:tc>
        <w:tc>
          <w:tcPr>
            <w:tcW w:type="dxa" w:w="6803"/>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1"/>
              </w:rPr>
              <w:t>条件扩散模型系统性训练与结构消融（在前期初步实现基础上）：噪声schedule、条件注入方式、网络规模</w:t>
            </w:r>
          </w:p>
        </w:tc>
      </w:tr>
      <w:tr>
        <w:tc>
          <w:tcPr>
            <w:tcW w:type="dxa" w:w="1701"/>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1"/>
              </w:rPr>
              <w:t>第4~6周</w:t>
            </w:r>
          </w:p>
        </w:tc>
        <w:tc>
          <w:tcPr>
            <w:tcW w:type="dxa" w:w="6803"/>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1"/>
              </w:rPr>
              <w:t>扩散模型训练调优与7个测试仰角逐点验收；CGAN对照实验补充（多种子）</w:t>
            </w:r>
          </w:p>
        </w:tc>
      </w:tr>
      <w:tr>
        <w:tc>
          <w:tcPr>
            <w:tcW w:type="dxa" w:w="1701"/>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1"/>
              </w:rPr>
              <w:t>第7~8周</w:t>
            </w:r>
          </w:p>
        </w:tc>
        <w:tc>
          <w:tcPr>
            <w:tcW w:type="dxa" w:w="6803"/>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1"/>
              </w:rPr>
              <w:t>DDIM采样步数—生成质量—采样耗时折中分析（含连续仰角）</w:t>
            </w:r>
          </w:p>
        </w:tc>
      </w:tr>
      <w:tr>
        <w:tc>
          <w:tcPr>
            <w:tcW w:type="dxa" w:w="1701"/>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1"/>
              </w:rPr>
              <w:t>第9~10周</w:t>
            </w:r>
          </w:p>
        </w:tc>
        <w:tc>
          <w:tcPr>
            <w:tcW w:type="dxa" w:w="6803"/>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1"/>
              </w:rPr>
              <w:t>系统性对比实验与连续仰角泛化测试，归纳两类生成范式的能力边界</w:t>
            </w:r>
          </w:p>
        </w:tc>
      </w:tr>
      <w:tr>
        <w:tc>
          <w:tcPr>
            <w:tcW w:type="dxa" w:w="1701"/>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1"/>
              </w:rPr>
              <w:t>第11~13周</w:t>
            </w:r>
          </w:p>
        </w:tc>
        <w:tc>
          <w:tcPr>
            <w:tcW w:type="dxa" w:w="6803"/>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1"/>
              </w:rPr>
              <w:t>依托课题组地面站开展真实信道数据采集与预处理（视采集条件），构建实测扩充数据集</w:t>
            </w:r>
          </w:p>
        </w:tc>
      </w:tr>
      <w:tr>
        <w:tc>
          <w:tcPr>
            <w:tcW w:type="dxa" w:w="1701"/>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1"/>
              </w:rPr>
              <w:t>第14周</w:t>
            </w:r>
          </w:p>
        </w:tc>
        <w:tc>
          <w:tcPr>
            <w:tcW w:type="dxa" w:w="6803"/>
            <w:vAlign w:val="center"/>
            <w:tcBorders>
              <w:left w:val="none" w:sz="0" w:space="0"/>
              <w:right w:val="none" w:sz="0" w:space="0"/>
              <w:top w:val="none" w:sz="6" w:space="0"/>
              <w:bottom w:val="none" w:sz="6" w:space="0"/>
            </w:tcBorders>
          </w:tcPr>
          <w:p>
            <w:pPr>
              <w:spacing w:line="276" w:lineRule="auto" w:before="0" w:after="0"/>
              <w:ind w:firstLine="0"/>
              <w:jc w:val="center"/>
            </w:pPr>
            <w:r/>
            <w:r>
              <w:rPr>
                <w:rFonts w:ascii="Times New Roman" w:hAnsi="Times New Roman" w:eastAsia="宋体"/>
                <w:b w:val="0"/>
                <w:sz w:val="21"/>
              </w:rPr>
              <w:t>跨数据源稳健性检验（两模型在新数据集上重训对比）</w:t>
            </w:r>
          </w:p>
        </w:tc>
      </w:tr>
      <w:tr>
        <w:tc>
          <w:tcPr>
            <w:tcW w:type="dxa" w:w="1701"/>
            <w:vAlign w:val="center"/>
            <w:tcBorders>
              <w:left w:val="none" w:sz="0" w:space="0"/>
              <w:right w:val="none" w:sz="0" w:space="0"/>
              <w:top w:val="none" w:sz="6" w:space="0"/>
              <w:bottom w:val="single" w:sz="8" w:space="0"/>
            </w:tcBorders>
          </w:tcPr>
          <w:p>
            <w:pPr>
              <w:spacing w:line="276" w:lineRule="auto" w:before="0" w:after="0"/>
              <w:ind w:firstLine="0"/>
              <w:jc w:val="center"/>
            </w:pPr>
            <w:r/>
            <w:r>
              <w:rPr>
                <w:rFonts w:ascii="Times New Roman" w:hAnsi="Times New Roman" w:eastAsia="宋体"/>
                <w:b w:val="0"/>
                <w:sz w:val="21"/>
              </w:rPr>
              <w:t>第15~16周</w:t>
            </w:r>
          </w:p>
        </w:tc>
        <w:tc>
          <w:tcPr>
            <w:tcW w:type="dxa" w:w="6803"/>
            <w:vAlign w:val="center"/>
            <w:tcBorders>
              <w:left w:val="none" w:sz="0" w:space="0"/>
              <w:right w:val="none" w:sz="0" w:space="0"/>
              <w:top w:val="none" w:sz="6" w:space="0"/>
              <w:bottom w:val="single" w:sz="8" w:space="0"/>
            </w:tcBorders>
          </w:tcPr>
          <w:p>
            <w:pPr>
              <w:spacing w:line="276" w:lineRule="auto" w:before="0" w:after="0"/>
              <w:ind w:firstLine="0"/>
              <w:jc w:val="center"/>
            </w:pPr>
            <w:r/>
            <w:r>
              <w:rPr>
                <w:rFonts w:ascii="Times New Roman" w:hAnsi="Times New Roman" w:eastAsia="宋体"/>
                <w:b w:val="0"/>
                <w:sz w:val="21"/>
              </w:rPr>
              <w:t>论文撰写、修改定稿与答辩准备</w:t>
            </w:r>
          </w:p>
        </w:tc>
      </w:tr>
    </w:tbl>
    <w:p>
      <w:pPr>
        <w:spacing w:line="300" w:lineRule="auto" w:before="40" w:after="40"/>
        <w:ind w:firstLine="0"/>
        <w:jc w:val="left"/>
      </w:pPr>
      <w:r>
        <w:rPr>
          <w:rFonts w:ascii="Times New Roman" w:hAnsi="Times New Roman" w:eastAsia="黑体"/>
          <w:b/>
          <w:sz w:val="24"/>
        </w:rPr>
        <w:t>（三）预期达到的目标</w:t>
      </w:r>
    </w:p>
    <w:p>
      <w:pPr>
        <w:spacing w:line="300" w:lineRule="auto" w:before="0" w:after="0"/>
        <w:ind w:firstLine="480"/>
        <w:jc w:val="both"/>
      </w:pPr>
      <w:r>
        <w:rPr>
          <w:rFonts w:ascii="Times New Roman" w:hAnsi="Times New Roman" w:eastAsia="宋体"/>
          <w:b w:val="0"/>
          <w:sz w:val="24"/>
        </w:rPr>
        <w:t>（1）</w:t>
      </w:r>
      <w:r>
        <w:rPr>
          <w:rFonts w:ascii="Times New Roman" w:hAnsi="Times New Roman" w:eastAsia="宋体"/>
          <w:b w:val="0"/>
          <w:sz w:val="24"/>
        </w:rPr>
        <w:t>完成仰角条件扩散模型的系统性训练与调优，7个测试仰角的分布拟合精度达到并保持前期初步结果的优秀线水平（KS&lt;0.02）；</w:t>
      </w:r>
    </w:p>
    <w:p>
      <w:pPr>
        <w:spacing w:line="300" w:lineRule="auto" w:before="0" w:after="0"/>
        <w:ind w:firstLine="480"/>
        <w:jc w:val="both"/>
      </w:pPr>
      <w:r>
        <w:rPr>
          <w:rFonts w:ascii="Times New Roman" w:hAnsi="Times New Roman" w:eastAsia="宋体"/>
          <w:b w:val="0"/>
          <w:sz w:val="24"/>
        </w:rPr>
        <w:t>（2）</w:t>
      </w:r>
      <w:r>
        <w:rPr>
          <w:rFonts w:ascii="Times New Roman" w:hAnsi="Times New Roman" w:eastAsia="宋体"/>
          <w:b w:val="0"/>
          <w:sz w:val="24"/>
        </w:rPr>
        <w:t>在三层指标与工程维度上全面量化对比两类模型的分布拟合精度、时序保持能力、系统性能后果与工程效率，重点检验"扩散模型在时序指标（LCR/AFD相对RMSE）上是否优于CGAN基线"这一研究假设；</w:t>
      </w:r>
    </w:p>
    <w:p>
      <w:pPr>
        <w:spacing w:line="300" w:lineRule="auto" w:before="0" w:after="0"/>
        <w:ind w:firstLine="480"/>
        <w:jc w:val="both"/>
      </w:pPr>
      <w:r>
        <w:rPr>
          <w:rFonts w:ascii="Times New Roman" w:hAnsi="Times New Roman" w:eastAsia="宋体"/>
          <w:b w:val="0"/>
          <w:sz w:val="24"/>
        </w:rPr>
        <w:t>（3）</w:t>
      </w:r>
      <w:r>
        <w:rPr>
          <w:rFonts w:ascii="Times New Roman" w:hAnsi="Times New Roman" w:eastAsia="宋体"/>
          <w:b w:val="0"/>
          <w:sz w:val="24"/>
        </w:rPr>
        <w:t>完成真实信道数据采集（视采集条件）与跨数据源稳健性检验，形成完整的三层评价对比实验报告（含采样步数—生成质量—采样耗时折中曲线）与可复现代码库；</w:t>
      </w:r>
    </w:p>
    <w:p>
      <w:pPr>
        <w:spacing w:line="300" w:lineRule="auto" w:before="0" w:after="0"/>
        <w:ind w:firstLine="480"/>
        <w:jc w:val="both"/>
      </w:pPr>
      <w:r>
        <w:rPr>
          <w:rFonts w:ascii="Times New Roman" w:hAnsi="Times New Roman" w:eastAsia="宋体"/>
          <w:b w:val="0"/>
          <w:sz w:val="24"/>
        </w:rPr>
        <w:t>（4）</w:t>
      </w:r>
      <w:r>
        <w:rPr>
          <w:rFonts w:ascii="Times New Roman" w:hAnsi="Times New Roman" w:eastAsia="宋体"/>
          <w:b w:val="0"/>
          <w:sz w:val="24"/>
        </w:rPr>
        <w:t>完成毕业论文一篇。</w:t>
      </w:r>
    </w:p>
    <w:p>
      <w:pPr>
        <w:spacing w:line="300" w:lineRule="auto" w:before="80" w:after="80"/>
        <w:ind w:firstLine="0"/>
        <w:jc w:val="left"/>
      </w:pPr>
      <w:r>
        <w:rPr>
          <w:rFonts w:ascii="Times New Roman" w:hAnsi="Times New Roman" w:eastAsia="黑体"/>
          <w:b/>
          <w:sz w:val="28"/>
        </w:rPr>
        <w:t>6．课题已具备和所需的条件、经费</w:t>
      </w:r>
    </w:p>
    <w:p>
      <w:pPr>
        <w:spacing w:line="300" w:lineRule="auto" w:before="0" w:after="0"/>
        <w:ind w:firstLine="0"/>
        <w:jc w:val="left"/>
      </w:pPr>
      <w:r>
        <w:rPr>
          <w:rFonts w:ascii="Times New Roman" w:hAnsi="Times New Roman" w:eastAsia="黑体"/>
          <w:b/>
          <w:sz w:val="24"/>
        </w:rPr>
        <w:t>已具备的条件：</w:t>
      </w:r>
    </w:p>
    <w:p>
      <w:pPr>
        <w:spacing w:line="300" w:lineRule="auto" w:before="0" w:after="0"/>
        <w:ind w:firstLine="480"/>
        <w:jc w:val="both"/>
      </w:pPr>
      <w:r>
        <w:rPr>
          <w:rFonts w:ascii="Times New Roman" w:hAnsi="Times New Roman" w:eastAsia="宋体"/>
          <w:b w:val="0"/>
          <w:sz w:val="24"/>
        </w:rPr>
        <w:t>（1）方法与数据基础：文献[1]已公开全部数据规格、训练超参与评价指标定义，本课题已完成其方法体系梳理与CGAN基线复现，数据管线与三层评价指标库经回归测试后冻结，复现要件完整、对比基准可信；</w:t>
      </w:r>
    </w:p>
    <w:p>
      <w:pPr>
        <w:spacing w:line="300" w:lineRule="auto" w:before="0" w:after="0"/>
        <w:ind w:firstLine="480"/>
        <w:jc w:val="both"/>
      </w:pPr>
      <w:r>
        <w:rPr>
          <w:rFonts w:ascii="Times New Roman" w:hAnsi="Times New Roman" w:eastAsia="宋体"/>
          <w:b w:val="0"/>
          <w:sz w:val="24"/>
        </w:rPr>
        <w:t>（2）前期验收基础：复现的CGAN基线在7个测试仰角中6个达到文献[1]同量级水平，条件扩散模型初步实现已在全部仰角通过优秀线验收，验证了数据管线、指标库与训练流程的端到端可行性，为16周进度安排的任务分解与工作量估计提供了可靠基础；</w:t>
      </w:r>
    </w:p>
    <w:p>
      <w:pPr>
        <w:spacing w:line="300" w:lineRule="auto" w:before="0" w:after="0"/>
        <w:ind w:firstLine="480"/>
        <w:jc w:val="both"/>
      </w:pPr>
      <w:r>
        <w:rPr>
          <w:rFonts w:ascii="Times New Roman" w:hAnsi="Times New Roman" w:eastAsia="宋体"/>
          <w:b w:val="0"/>
          <w:sz w:val="24"/>
        </w:rPr>
        <w:t>（3）算力与工具条件：实验所用GPU算力已具备，PyTorch等开源深度学习工具链成熟，可满足生成模型训练与大规模采样评估的算力需求。</w:t>
      </w:r>
    </w:p>
    <w:p>
      <w:pPr>
        <w:spacing w:line="300" w:lineRule="auto" w:before="0" w:after="0"/>
        <w:ind w:firstLine="0"/>
        <w:jc w:val="left"/>
      </w:pPr>
      <w:r>
        <w:rPr>
          <w:rFonts w:ascii="Times New Roman" w:hAnsi="Times New Roman" w:eastAsia="黑体"/>
          <w:b/>
          <w:sz w:val="24"/>
        </w:rPr>
        <w:t>所需条件与经费：</w:t>
      </w:r>
    </w:p>
    <w:p>
      <w:pPr>
        <w:spacing w:line="300" w:lineRule="auto" w:before="0" w:after="0"/>
        <w:ind w:firstLine="480"/>
        <w:jc w:val="both"/>
      </w:pPr>
      <w:r>
        <w:rPr>
          <w:rFonts w:ascii="Times New Roman" w:hAnsi="Times New Roman" w:eastAsia="宋体"/>
          <w:b w:val="0"/>
          <w:sz w:val="24"/>
        </w:rPr>
        <w:t>本课题全程基于开源软件工具链与课题组既有资源，无元器件、设备采购需求，无需经费支持；真实信道数据采集拟依托课题组地面站资源实施（视采集条件安排），均不涉及经费。</w:t>
      </w:r>
    </w:p>
    <w:p>
      <w:pPr>
        <w:spacing w:line="300" w:lineRule="auto" w:before="80" w:after="80"/>
        <w:ind w:firstLine="0"/>
        <w:jc w:val="left"/>
      </w:pPr>
      <w:r>
        <w:rPr>
          <w:rFonts w:ascii="Times New Roman" w:hAnsi="Times New Roman" w:eastAsia="黑体"/>
          <w:b/>
          <w:sz w:val="28"/>
        </w:rPr>
        <w:t>7．研究过程中可能遇到的困难和问题，解决的措施</w:t>
      </w:r>
    </w:p>
    <w:p>
      <w:pPr>
        <w:spacing w:line="300" w:lineRule="auto" w:before="80" w:after="0"/>
        <w:ind w:firstLine="480"/>
        <w:jc w:val="both"/>
      </w:pPr>
      <w:r>
        <w:rPr>
          <w:rFonts w:ascii="Times New Roman" w:hAnsi="Times New Roman" w:eastAsia="黑体"/>
          <w:b/>
          <w:sz w:val="24"/>
        </w:rPr>
        <w:t>（1）WGAN-GP的条件间一致性难以保证。</w:t>
      </w:r>
      <w:r>
        <w:rPr>
          <w:rFonts w:ascii="Times New Roman" w:hAnsi="Times New Roman" w:eastAsia="宋体"/>
          <w:b w:val="0"/>
          <w:sz w:val="24"/>
        </w:rPr>
        <w:t>对抗损失仅在单个条件下约束分布匹配，缺乏跨条件有序性约束，前期复现过程中已观察到相邻仰角条件均值互相拖拽、条件均值曲线局部偏离的现象，30°仰角KS=0.130超出验收线。解决措施：沿用文献[1]已验证的WGAN-GP、TTUR与EMA组合并以EMA权重采样抑制波动，辅以训练全程的条件均值曲线与逐仰角KS/Spearman监测；引入跨条件单调一致性正则约束相邻仰角的均值顺序；该现象同时作为GAN类方法的结构性局限纳入对比分析（已部分完成）。</w:t>
      </w:r>
    </w:p>
    <w:p>
      <w:pPr>
        <w:spacing w:line="300" w:lineRule="auto" w:before="80" w:after="0"/>
        <w:ind w:firstLine="480"/>
        <w:jc w:val="both"/>
      </w:pPr>
      <w:r>
        <w:rPr>
          <w:rFonts w:ascii="Times New Roman" w:hAnsi="Times New Roman" w:eastAsia="黑体"/>
          <w:b/>
          <w:sz w:val="24"/>
        </w:rPr>
        <w:t>（2）扩散模型训练与采样计算开销大。</w:t>
      </w:r>
      <w:r>
        <w:rPr>
          <w:rFonts w:ascii="Times New Roman" w:hAnsi="Times New Roman" w:eastAsia="宋体"/>
          <w:b w:val="0"/>
          <w:sz w:val="24"/>
        </w:rPr>
        <w:t>DDPM反向采样需千步迭代，生成效率远低于CGAN单次前向（前期实测单条延迟差距约54倍）。解决措施：采用DDIM确定性采样将步数压缩至数十步量级，控制U-Net规模与训练序列长度，并系统测定"采样步数—生成质量—采样耗时"折中曲线（前期已获初步折中数据，正式研究将扩展至连续仰角），为生成模型的工程选型提供依据。</w:t>
      </w:r>
    </w:p>
    <w:p>
      <w:pPr>
        <w:spacing w:line="300" w:lineRule="auto" w:before="80" w:after="0"/>
        <w:ind w:firstLine="480"/>
        <w:jc w:val="both"/>
      </w:pPr>
      <w:r>
        <w:rPr>
          <w:rFonts w:ascii="Times New Roman" w:hAnsi="Times New Roman" w:eastAsia="黑体"/>
          <w:b/>
          <w:sz w:val="24"/>
        </w:rPr>
        <w:t>（3）时序指标的统计精度与计算成本相互制约。</w:t>
      </w:r>
      <w:r>
        <w:rPr>
          <w:rFonts w:ascii="Times New Roman" w:hAnsi="Times New Roman" w:eastAsia="宋体"/>
          <w:b w:val="0"/>
          <w:sz w:val="24"/>
        </w:rPr>
        <w:t>LCR/AFD属稀有事件计数统计，相对统计误差随样本量按1/√N标度，往往需要大样本（十万级）才能可靠区分模型差异；而逐样本点的数值积分在大样本量下计算量巨大。解决措施：评估前按样本量校准指标阈值，采用网格插值将数值积分次数由样本量级降至网格量级，兼顾统计精度与计算开销，并以冻结数据集保证回归测试可复现（前期已验证该方案）。</w:t>
      </w:r>
    </w:p>
    <w:p>
      <w:pPr>
        <w:spacing w:line="300" w:lineRule="auto" w:before="80" w:after="0"/>
        <w:ind w:firstLine="480"/>
        <w:jc w:val="both"/>
      </w:pPr>
      <w:r>
        <w:rPr>
          <w:rFonts w:ascii="Times New Roman" w:hAnsi="Times New Roman" w:eastAsia="黑体"/>
          <w:b/>
          <w:sz w:val="24"/>
        </w:rPr>
        <w:t>（4）缺乏同频段同场景的公开实测数据。</w:t>
      </w:r>
      <w:r>
        <w:rPr>
          <w:rFonts w:ascii="Times New Roman" w:hAnsi="Times New Roman" w:eastAsia="宋体"/>
          <w:b w:val="0"/>
          <w:sz w:val="24"/>
        </w:rPr>
        <w:t>Corazza模型参数依赖特定测量场景拟合，参考数据与真实信道的偏差会传导至生成模型的评估结论。解决措施：视采集条件，依托课题组地面站资源自采实测数据作为补充验证；论文中对数据局限如实说明。</w:t>
      </w:r>
    </w:p>
    <w:p>
      <w:pPr>
        <w:spacing w:line="300" w:lineRule="auto" w:before="80" w:after="0"/>
        <w:ind w:firstLine="480"/>
        <w:jc w:val="both"/>
      </w:pPr>
      <w:r>
        <w:rPr>
          <w:rFonts w:ascii="Times New Roman" w:hAnsi="Times New Roman" w:eastAsia="黑体"/>
          <w:b/>
          <w:sz w:val="24"/>
        </w:rPr>
        <w:t>（5）公平对比的口径控制。</w:t>
      </w:r>
      <w:r>
        <w:rPr>
          <w:rFonts w:ascii="Times New Roman" w:hAnsi="Times New Roman" w:eastAsia="宋体"/>
          <w:b w:val="0"/>
          <w:sz w:val="24"/>
        </w:rPr>
        <w:t>两模型对比结论的有效性完全取决于数据、指标、种子口径的一致性。解决措施：统一冻结训练集与评价代码，指标接口冻结后任何变更必须重跑全量回归测试并登记变更日志。</w:t>
      </w:r>
    </w:p>
    <w:p>
      <w:pPr>
        <w:spacing w:line="300" w:lineRule="auto" w:before="80" w:after="80"/>
        <w:ind w:firstLine="0"/>
        <w:jc w:val="left"/>
      </w:pPr>
      <w:r>
        <w:rPr>
          <w:rFonts w:ascii="Times New Roman" w:hAnsi="Times New Roman" w:eastAsia="黑体"/>
          <w:b/>
          <w:sz w:val="28"/>
        </w:rPr>
        <w:t>8．主要参考文献</w:t>
      </w:r>
    </w:p>
    <w:p>
      <w:pPr>
        <w:spacing w:line="300" w:lineRule="auto" w:before="0" w:after="0"/>
        <w:ind w:left="454" w:hanging="454"/>
        <w:jc w:val="both"/>
      </w:pPr>
      <w:r>
        <w:rPr>
          <w:rFonts w:ascii="Times New Roman" w:hAnsi="Times New Roman" w:eastAsia="宋体"/>
          <w:b w:val="0"/>
          <w:sz w:val="24"/>
        </w:rPr>
        <w:t xml:space="preserve">[1] </w:t>
      </w:r>
      <w:r>
        <w:rPr>
          <w:rFonts w:ascii="Times New Roman" w:hAnsi="Times New Roman" w:eastAsia="宋体"/>
          <w:b w:val="0"/>
          <w:sz w:val="24"/>
        </w:rPr>
        <w:t>陈万埼. 基于CGAN的NGSO星座星地信道建模方法与仿真[D]. 哈尔滨: 哈尔滨工业大学, 2026.</w:t>
      </w:r>
    </w:p>
    <w:p>
      <w:pPr>
        <w:spacing w:line="300" w:lineRule="auto" w:before="0" w:after="0"/>
        <w:ind w:left="454" w:hanging="454"/>
        <w:jc w:val="both"/>
      </w:pPr>
      <w:r>
        <w:rPr>
          <w:rFonts w:ascii="Times New Roman" w:hAnsi="Times New Roman" w:eastAsia="宋体"/>
          <w:b w:val="0"/>
          <w:sz w:val="24"/>
        </w:rPr>
        <w:t xml:space="preserve">[2] </w:t>
      </w:r>
      <w:r>
        <w:rPr>
          <w:rFonts w:ascii="Times New Roman" w:hAnsi="Times New Roman" w:eastAsia="宋体"/>
          <w:b w:val="0"/>
          <w:sz w:val="24"/>
        </w:rPr>
        <w:t>Loo C. A statistical model for a land mobile satellite link[J]. IEEE Transactions on Vehicular Technology, 1985, 34(3): 122-127.</w:t>
      </w:r>
    </w:p>
    <w:p>
      <w:pPr>
        <w:spacing w:line="300" w:lineRule="auto" w:before="0" w:after="0"/>
        <w:ind w:left="454" w:hanging="454"/>
        <w:jc w:val="both"/>
      </w:pPr>
      <w:r>
        <w:rPr>
          <w:rFonts w:ascii="Times New Roman" w:hAnsi="Times New Roman" w:eastAsia="宋体"/>
          <w:b w:val="0"/>
          <w:sz w:val="24"/>
        </w:rPr>
        <w:t xml:space="preserve">[3] </w:t>
      </w:r>
      <w:r>
        <w:rPr>
          <w:rFonts w:ascii="Times New Roman" w:hAnsi="Times New Roman" w:eastAsia="宋体"/>
          <w:b w:val="0"/>
          <w:sz w:val="24"/>
        </w:rPr>
        <w:t>Lutz E, Cygan D, Dippold M, et al. The land mobile satellite communication channel: recording, statistics, and channel model[J]. IEEE Transactions on Vehicular Technology, 1991, 40(2): 375-386.</w:t>
      </w:r>
    </w:p>
    <w:p>
      <w:pPr>
        <w:spacing w:line="300" w:lineRule="auto" w:before="0" w:after="0"/>
        <w:ind w:left="454" w:hanging="454"/>
        <w:jc w:val="both"/>
      </w:pPr>
      <w:r>
        <w:rPr>
          <w:rFonts w:ascii="Times New Roman" w:hAnsi="Times New Roman" w:eastAsia="宋体"/>
          <w:b w:val="0"/>
          <w:sz w:val="24"/>
        </w:rPr>
        <w:t xml:space="preserve">[4] </w:t>
      </w:r>
      <w:r>
        <w:rPr>
          <w:rFonts w:ascii="Times New Roman" w:hAnsi="Times New Roman" w:eastAsia="宋体"/>
          <w:b w:val="0"/>
          <w:sz w:val="24"/>
        </w:rPr>
        <w:t>Corazza G E, Vatalaro F. A statistical model for land mobile satellite channels and its application to nongeostationary orbit systems[J]. IEEE Transactions on Vehicular Technology, 1994, 43(3): 738-742.</w:t>
      </w:r>
    </w:p>
    <w:p>
      <w:pPr>
        <w:spacing w:line="300" w:lineRule="auto" w:before="0" w:after="0"/>
        <w:ind w:left="454" w:hanging="454"/>
        <w:jc w:val="both"/>
      </w:pPr>
      <w:r>
        <w:rPr>
          <w:rFonts w:ascii="Times New Roman" w:hAnsi="Times New Roman" w:eastAsia="宋体"/>
          <w:b w:val="0"/>
          <w:sz w:val="24"/>
        </w:rPr>
        <w:t xml:space="preserve">[5] </w:t>
      </w:r>
      <w:r>
        <w:rPr>
          <w:rFonts w:ascii="Times New Roman" w:hAnsi="Times New Roman" w:eastAsia="宋体"/>
          <w:b w:val="0"/>
          <w:sz w:val="24"/>
        </w:rPr>
        <w:t>Fontán F P, Vázquez-Castro M, Cabado C E, et al. Statistical modeling of the LMS channel[J]. IEEE Transactions on Vehicular Technology, 2001, 50(6): 1549-1567.</w:t>
      </w:r>
    </w:p>
    <w:p>
      <w:pPr>
        <w:spacing w:line="300" w:lineRule="auto" w:before="0" w:after="0"/>
        <w:ind w:left="454" w:hanging="454"/>
        <w:jc w:val="both"/>
      </w:pPr>
      <w:r>
        <w:rPr>
          <w:rFonts w:ascii="Times New Roman" w:hAnsi="Times New Roman" w:eastAsia="宋体"/>
          <w:b w:val="0"/>
          <w:sz w:val="24"/>
        </w:rPr>
        <w:t xml:space="preserve">[6] </w:t>
      </w:r>
      <w:r>
        <w:rPr>
          <w:rFonts w:ascii="Times New Roman" w:hAnsi="Times New Roman" w:eastAsia="宋体"/>
          <w:b w:val="0"/>
          <w:sz w:val="24"/>
        </w:rPr>
        <w:t>Abdi A, Lau W C, Alouini M S, et al. A new simple model for land mobile satellite channels: first- and second-order statistics[J]. IEEE Transactions on Wireless Communications, 2003, 2(3): 519-528.</w:t>
      </w:r>
    </w:p>
    <w:p>
      <w:pPr>
        <w:spacing w:line="300" w:lineRule="auto" w:before="0" w:after="0"/>
        <w:ind w:left="454" w:hanging="454"/>
        <w:jc w:val="both"/>
      </w:pPr>
      <w:r>
        <w:rPr>
          <w:rFonts w:ascii="Times New Roman" w:hAnsi="Times New Roman" w:eastAsia="宋体"/>
          <w:b w:val="0"/>
          <w:sz w:val="24"/>
        </w:rPr>
        <w:t xml:space="preserve">[7] </w:t>
      </w:r>
      <w:r>
        <w:rPr>
          <w:rFonts w:ascii="Times New Roman" w:hAnsi="Times New Roman" w:eastAsia="宋体"/>
          <w:b w:val="0"/>
          <w:sz w:val="24"/>
        </w:rPr>
        <w:t>3GPP. Study on New Radio (NR) to support non-terrestrial networks: TR 38.811[R]. 2020.</w:t>
      </w:r>
    </w:p>
    <w:p>
      <w:pPr>
        <w:spacing w:line="300" w:lineRule="auto" w:before="0" w:after="0"/>
        <w:ind w:left="454" w:hanging="454"/>
        <w:jc w:val="both"/>
      </w:pPr>
      <w:r>
        <w:rPr>
          <w:rFonts w:ascii="Times New Roman" w:hAnsi="Times New Roman" w:eastAsia="宋体"/>
          <w:b w:val="0"/>
          <w:sz w:val="24"/>
        </w:rPr>
        <w:t xml:space="preserve">[8] </w:t>
      </w:r>
      <w:r>
        <w:rPr>
          <w:rFonts w:ascii="Times New Roman" w:hAnsi="Times New Roman" w:eastAsia="宋体"/>
          <w:b w:val="0"/>
          <w:sz w:val="24"/>
        </w:rPr>
        <w:t>ITU-R. Propagation data and prediction methods required for the design of Earth-space telecommunication systems: Recommendation P.618[S]. 2023.</w:t>
      </w:r>
    </w:p>
    <w:p>
      <w:pPr>
        <w:spacing w:line="300" w:lineRule="auto" w:before="0" w:after="0"/>
        <w:ind w:left="454" w:hanging="454"/>
        <w:jc w:val="both"/>
      </w:pPr>
      <w:r>
        <w:rPr>
          <w:rFonts w:ascii="Times New Roman" w:hAnsi="Times New Roman" w:eastAsia="宋体"/>
          <w:b w:val="0"/>
          <w:sz w:val="24"/>
        </w:rPr>
        <w:t xml:space="preserve">[9] </w:t>
      </w:r>
      <w:r>
        <w:rPr>
          <w:rFonts w:ascii="Times New Roman" w:hAnsi="Times New Roman" w:eastAsia="宋体"/>
          <w:b w:val="0"/>
          <w:sz w:val="24"/>
        </w:rPr>
        <w:t>Baeza V M, Lagunas E, Al-Hraishawi H, et al. An overview of channel models for NGSO satellites[C]//2022 IEEE 96th Vehicular Technology Conference (VTC2022-Fall). IEEE, 2022: 1-6.</w:t>
      </w:r>
    </w:p>
    <w:p>
      <w:pPr>
        <w:spacing w:line="300" w:lineRule="auto" w:before="0" w:after="0"/>
        <w:ind w:left="454" w:hanging="454"/>
        <w:jc w:val="both"/>
      </w:pPr>
      <w:r>
        <w:rPr>
          <w:rFonts w:ascii="Times New Roman" w:hAnsi="Times New Roman" w:eastAsia="宋体"/>
          <w:b w:val="0"/>
          <w:sz w:val="24"/>
        </w:rPr>
        <w:t xml:space="preserve">[10] </w:t>
      </w:r>
      <w:r>
        <w:rPr>
          <w:rFonts w:ascii="Times New Roman" w:hAnsi="Times New Roman" w:eastAsia="宋体"/>
          <w:b w:val="0"/>
          <w:sz w:val="24"/>
        </w:rPr>
        <w:t>Goodfellow I, Pouget-Abadie J, Mirza M, et al. Generative adversarial nets[C]//Advances in Neural Information Processing Systems, 2014, 27: 2672-2680.</w:t>
      </w:r>
    </w:p>
    <w:p>
      <w:pPr>
        <w:spacing w:line="300" w:lineRule="auto" w:before="0" w:after="0"/>
        <w:ind w:left="454" w:hanging="454"/>
        <w:jc w:val="both"/>
      </w:pPr>
      <w:r>
        <w:rPr>
          <w:rFonts w:ascii="Times New Roman" w:hAnsi="Times New Roman" w:eastAsia="宋体"/>
          <w:b w:val="0"/>
          <w:sz w:val="24"/>
        </w:rPr>
        <w:t xml:space="preserve">[11] </w:t>
      </w:r>
      <w:r>
        <w:rPr>
          <w:rFonts w:ascii="Times New Roman" w:hAnsi="Times New Roman" w:eastAsia="宋体"/>
          <w:b w:val="0"/>
          <w:sz w:val="24"/>
        </w:rPr>
        <w:t>Xiao H, Tian W, Liu W, et al. ChannelGAN: Deep learning-based channel modeling and generating[J]. IEEE Wireless Communications Letters, 2022, 11(3): 650-654.</w:t>
      </w:r>
    </w:p>
    <w:p>
      <w:pPr>
        <w:spacing w:line="300" w:lineRule="auto" w:before="0" w:after="0"/>
        <w:ind w:left="454" w:hanging="454"/>
        <w:jc w:val="both"/>
      </w:pPr>
      <w:r>
        <w:rPr>
          <w:rFonts w:ascii="Times New Roman" w:hAnsi="Times New Roman" w:eastAsia="宋体"/>
          <w:b w:val="0"/>
          <w:sz w:val="24"/>
        </w:rPr>
        <w:t xml:space="preserve">[12] </w:t>
      </w:r>
      <w:r>
        <w:rPr>
          <w:rFonts w:ascii="Times New Roman" w:hAnsi="Times New Roman" w:eastAsia="宋体"/>
          <w:b w:val="0"/>
          <w:sz w:val="24"/>
        </w:rPr>
        <w:t>程芳芳. 基于GAN网络的无线信道建模方法研究[D]. 大连: 大连海事大学, 2022.</w:t>
      </w:r>
    </w:p>
    <w:p>
      <w:pPr>
        <w:spacing w:line="300" w:lineRule="auto" w:before="0" w:after="0"/>
        <w:ind w:left="454" w:hanging="454"/>
        <w:jc w:val="both"/>
      </w:pPr>
      <w:r>
        <w:rPr>
          <w:rFonts w:ascii="Times New Roman" w:hAnsi="Times New Roman" w:eastAsia="宋体"/>
          <w:b w:val="0"/>
          <w:sz w:val="24"/>
        </w:rPr>
        <w:t xml:space="preserve">[13] </w:t>
      </w:r>
      <w:r>
        <w:rPr>
          <w:rFonts w:ascii="Times New Roman" w:hAnsi="Times New Roman" w:eastAsia="宋体"/>
          <w:b w:val="0"/>
          <w:sz w:val="24"/>
        </w:rPr>
        <w:t>乔艳丽. 低轨卫星移动信道建模与仿真实现[D]. 北京: 北京邮电大学, 2023.</w:t>
      </w:r>
    </w:p>
    <w:p>
      <w:pPr>
        <w:spacing w:line="300" w:lineRule="auto" w:before="0" w:after="0"/>
        <w:ind w:left="454" w:hanging="454"/>
        <w:jc w:val="both"/>
      </w:pPr>
      <w:r>
        <w:rPr>
          <w:rFonts w:ascii="Times New Roman" w:hAnsi="Times New Roman" w:eastAsia="宋体"/>
          <w:b w:val="0"/>
          <w:sz w:val="24"/>
        </w:rPr>
        <w:t xml:space="preserve">[14] </w:t>
      </w:r>
      <w:r>
        <w:rPr>
          <w:rFonts w:ascii="Times New Roman" w:hAnsi="Times New Roman" w:eastAsia="宋体"/>
          <w:b w:val="0"/>
          <w:sz w:val="24"/>
        </w:rPr>
        <w:t>Gulrajani I, Ahmed F, Arjovsky M, et al. Improved training of Wasserstein GANs[C]//Advances in Neural Information Processing Systems, 2017, 30: 5767-5777.</w:t>
      </w:r>
    </w:p>
    <w:p>
      <w:pPr>
        <w:spacing w:line="300" w:lineRule="auto" w:before="0" w:after="0"/>
        <w:ind w:left="454" w:hanging="454"/>
        <w:jc w:val="both"/>
      </w:pPr>
      <w:r>
        <w:rPr>
          <w:rFonts w:ascii="Times New Roman" w:hAnsi="Times New Roman" w:eastAsia="宋体"/>
          <w:b w:val="0"/>
          <w:sz w:val="24"/>
        </w:rPr>
        <w:t xml:space="preserve">[15] </w:t>
      </w:r>
      <w:r>
        <w:rPr>
          <w:rFonts w:ascii="Times New Roman" w:hAnsi="Times New Roman" w:eastAsia="宋体"/>
          <w:b w:val="0"/>
          <w:sz w:val="24"/>
        </w:rPr>
        <w:t>Ho J, Jain A, Abbeel P. Denoising diffusion probabilistic models[C]//Advances in Neural Information Processing Systems, 2020, 33: 6840-6851.</w:t>
      </w:r>
    </w:p>
    <w:p>
      <w:pPr>
        <w:spacing w:line="300" w:lineRule="auto" w:before="0" w:after="0"/>
        <w:ind w:left="454" w:hanging="454"/>
        <w:jc w:val="both"/>
      </w:pPr>
      <w:r>
        <w:rPr>
          <w:rFonts w:ascii="Times New Roman" w:hAnsi="Times New Roman" w:eastAsia="宋体"/>
          <w:b w:val="0"/>
          <w:sz w:val="24"/>
        </w:rPr>
        <w:t xml:space="preserve">[16] </w:t>
      </w:r>
      <w:r>
        <w:rPr>
          <w:rFonts w:ascii="Times New Roman" w:hAnsi="Times New Roman" w:eastAsia="宋体"/>
          <w:b w:val="0"/>
          <w:sz w:val="24"/>
        </w:rPr>
        <w:t>Song J, Meng C, Ermon S. Denoising diffusion implicit models[C]//International Conference on Learning Representations, 2021.</w:t>
      </w:r>
    </w:p>
    <w:p>
      <w:pPr>
        <w:spacing w:line="300" w:lineRule="auto" w:before="0" w:after="0"/>
        <w:ind w:left="454" w:hanging="454"/>
        <w:jc w:val="both"/>
      </w:pPr>
      <w:r>
        <w:rPr>
          <w:rFonts w:ascii="Times New Roman" w:hAnsi="Times New Roman" w:eastAsia="宋体"/>
          <w:b w:val="0"/>
          <w:sz w:val="24"/>
        </w:rPr>
        <w:t xml:space="preserve">[17] </w:t>
      </w:r>
      <w:r>
        <w:rPr>
          <w:rFonts w:ascii="Times New Roman" w:hAnsi="Times New Roman" w:eastAsia="宋体"/>
          <w:b w:val="0"/>
          <w:sz w:val="24"/>
        </w:rPr>
        <w:t>Dhariwal P, Nichol A. Diffusion models beat GANs on image synthesis[C]//Advances in Neural Information Processing Systems, 2021, 34: 8780-8794.</w:t>
      </w:r>
    </w:p>
    <w:p>
      <w:pPr>
        <w:spacing w:line="300" w:lineRule="auto" w:before="0" w:after="0"/>
        <w:ind w:left="454" w:hanging="454"/>
        <w:jc w:val="both"/>
      </w:pPr>
      <w:r>
        <w:rPr>
          <w:rFonts w:ascii="Times New Roman" w:hAnsi="Times New Roman" w:eastAsia="宋体"/>
          <w:b w:val="0"/>
          <w:sz w:val="24"/>
        </w:rPr>
        <w:t xml:space="preserve">[18] </w:t>
      </w:r>
      <w:r>
        <w:rPr>
          <w:rFonts w:ascii="Times New Roman" w:hAnsi="Times New Roman" w:eastAsia="宋体"/>
          <w:b w:val="0"/>
          <w:sz w:val="24"/>
        </w:rPr>
        <w:t>Tian J, Cai L. Scalable air-to-ground wireless channel modeling using environmental context and generative diffusion[EB/OL]. arXiv:2603.24620, 2026[2026-10-12]. https://arxiv.org/abs/2603.24620.</w:t>
      </w:r>
    </w:p>
    <w:p>
      <w:pPr>
        <w:spacing w:line="300" w:lineRule="auto" w:before="0" w:after="0"/>
        <w:ind w:left="454" w:hanging="454"/>
        <w:jc w:val="both"/>
      </w:pPr>
      <w:r>
        <w:rPr>
          <w:rFonts w:ascii="Times New Roman" w:hAnsi="Times New Roman" w:eastAsia="宋体"/>
          <w:b w:val="0"/>
          <w:sz w:val="24"/>
        </w:rPr>
        <w:t xml:space="preserve">[19] </w:t>
      </w:r>
      <w:r>
        <w:rPr>
          <w:rFonts w:ascii="Times New Roman" w:hAnsi="Times New Roman" w:eastAsia="宋体"/>
          <w:b w:val="0"/>
          <w:sz w:val="24"/>
        </w:rPr>
        <w:t>Huang X, Zhang Y, Qin X, et al. Physics-informed digital twins for channel estimation and traffic prediction of non-terrestrial networks[EB/OL]. arXiv:2605.23155, 2026[2026-10-12]. https://arxiv.org/abs/2605.23155.</w:t>
      </w:r>
    </w:p>
    <w:p>
      <w:pPr>
        <w:spacing w:line="300" w:lineRule="auto" w:before="0" w:after="0"/>
        <w:ind w:left="454" w:hanging="454"/>
        <w:jc w:val="both"/>
      </w:pPr>
      <w:r>
        <w:rPr>
          <w:rFonts w:ascii="Times New Roman" w:hAnsi="Times New Roman" w:eastAsia="宋体"/>
          <w:b w:val="0"/>
          <w:sz w:val="24"/>
        </w:rPr>
        <w:t xml:space="preserve">[20] </w:t>
      </w:r>
      <w:r>
        <w:rPr>
          <w:rFonts w:ascii="Times New Roman" w:hAnsi="Times New Roman" w:eastAsia="宋体"/>
          <w:b w:val="0"/>
          <w:sz w:val="24"/>
        </w:rPr>
        <w:t>Xia T, et al. LEO satellite channel modeling based on latent diffusion models and PINNs[C]//IEEE SPCT. IEEE, 2025.</w:t>
      </w:r>
    </w:p>
    <w:p>
      <w:pPr>
        <w:spacing w:line="300" w:lineRule="auto" w:before="120" w:after="120"/>
        <w:ind w:firstLine="0"/>
        <w:jc w:val="left"/>
      </w:pPr>
      <w:r>
        <w:rPr>
          <w:rFonts w:ascii="Times New Roman" w:hAnsi="Times New Roman" w:eastAsia="黑体"/>
          <w:b/>
          <w:sz w:val="30"/>
        </w:rPr>
        <w:t>二、开题报告要求</w:t>
      </w:r>
    </w:p>
    <w:p>
      <w:pPr>
        <w:spacing w:line="300" w:lineRule="auto" w:before="80" w:after="80"/>
        <w:ind w:firstLine="0"/>
        <w:jc w:val="left"/>
      </w:pPr>
      <w:r>
        <w:rPr>
          <w:rFonts w:ascii="Times New Roman" w:hAnsi="Times New Roman" w:eastAsia="黑体"/>
          <w:b w:val="0"/>
          <w:sz w:val="28"/>
        </w:rPr>
        <w:t>1．开题报告的字数应在3000字以上。</w:t>
      </w:r>
    </w:p>
    <w:p>
      <w:pPr>
        <w:spacing w:line="300" w:lineRule="auto" w:before="80" w:after="80"/>
        <w:ind w:firstLine="0"/>
        <w:jc w:val="left"/>
      </w:pPr>
      <w:r>
        <w:rPr>
          <w:rFonts w:ascii="Times New Roman" w:hAnsi="Times New Roman" w:eastAsia="黑体"/>
          <w:b w:val="0"/>
          <w:sz w:val="28"/>
        </w:rPr>
        <w:t>2．参考文献的要求：</w:t>
      </w:r>
    </w:p>
    <w:p>
      <w:pPr>
        <w:spacing w:line="300" w:lineRule="auto" w:before="0" w:after="0"/>
        <w:ind w:firstLine="480"/>
        <w:jc w:val="both"/>
      </w:pPr>
      <w:r>
        <w:rPr>
          <w:rFonts w:ascii="Times New Roman" w:hAnsi="Times New Roman" w:eastAsia="宋体"/>
          <w:b w:val="0"/>
          <w:sz w:val="24"/>
        </w:rPr>
        <w:t>（1）本科综合设计（论文）的参考文献一般不少于15篇，外文文献不少于3篇（特殊专业可酌情确定明确要求），应有近两年的参考文献。产品说明书、未公开发表的研究报告不宜作为参考资料。</w:t>
      </w:r>
    </w:p>
    <w:p>
      <w:pPr>
        <w:spacing w:line="300" w:lineRule="auto" w:before="0" w:after="0"/>
        <w:ind w:firstLine="480"/>
        <w:jc w:val="both"/>
      </w:pPr>
      <w:r>
        <w:rPr>
          <w:rFonts w:ascii="Times New Roman" w:hAnsi="Times New Roman" w:eastAsia="宋体"/>
          <w:b w:val="0"/>
          <w:sz w:val="24"/>
        </w:rPr>
        <w:t>（2）参考文献按在开题报告中出现的次序列出。</w:t>
      </w:r>
    </w:p>
    <w:p>
      <w:pPr>
        <w:spacing w:line="300" w:lineRule="auto" w:before="0" w:after="0"/>
        <w:ind w:firstLine="480"/>
        <w:jc w:val="both"/>
      </w:pPr>
      <w:r>
        <w:rPr>
          <w:rFonts w:ascii="Times New Roman" w:hAnsi="Times New Roman" w:eastAsia="宋体"/>
          <w:b w:val="0"/>
          <w:sz w:val="24"/>
        </w:rPr>
        <w:t>（3）参考文献书写顺序：序号 作者.文章名.学术刊物名.年，卷（期）：引用起止页。</w:t>
      </w:r>
    </w:p>
    <w:sectPr w:rsidR="00FC693F" w:rsidRPr="0006063C" w:rsidSect="00034616">
      <w:pgSz w:w="11906" w:h="16838"/>
      <w:pgMar w:top="1304" w:right="1304" w:bottom="130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