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800"/>
        <w:jc w:val="center"/>
      </w:pPr>
      <w:r>
        <w:t xml:space="preserve"/>
      </w:r>
    </w:p>
    <w:p>
      <w:pPr>
        <w:spacing w:line="800"/>
        <w:jc w:val="center"/>
      </w:pPr>
      <w:r>
        <w:t xml:space="preserve"/>
      </w:r>
    </w:p>
    <w:p>
      <w:pPr>
        <w:spacing w:line="800"/>
        <w:jc w:val="center"/>
      </w:pPr>
      <w:r>
        <w:t xml:space="preserve"/>
      </w:r>
    </w:p>
    <w:p>
      <w:pPr>
        <w:spacing w:line="400" w:after="200"/>
        <w:jc w:val="center"/>
      </w:pPr>
      <w:r>
        <w:rPr>
          <w:rFonts w:ascii="Calibri" w:cs="Calibri" w:eastAsia="Calibri" w:hAnsi="Calibri"/>
          <w:b/>
          <w:bCs/>
          <w:color w:val="1B3A5C"/>
          <w:sz w:val="52"/>
          <w:szCs w:val="52"/>
        </w:rPr>
        <w:t xml:space="preserve">ZERO-BURN REVENUE STRATEGY</w:t>
      </w:r>
    </w:p>
    <w:p>
      <w:pPr>
        <w:spacing w:line="200"/>
        <w:jc w:val="center"/>
      </w:pPr>
      <w:r>
        <w:t xml:space="preserve"/>
      </w:r>
    </w:p>
    <w:p>
      <w:pPr>
        <w:spacing w:line="400" w:after="400"/>
        <w:jc w:val="center"/>
      </w:pPr>
      <w:r>
        <w:rPr>
          <w:rFonts w:ascii="Calibri" w:cs="Calibri" w:eastAsia="Calibri" w:hAnsi="Calibri"/>
          <w:b/>
          <w:bCs/>
          <w:color w:val="2E8B57"/>
          <w:sz w:val="32"/>
          <w:szCs w:val="32"/>
        </w:rPr>
        <w:t xml:space="preserve">datacenter-mcp-server</w:t>
      </w:r>
    </w:p>
    <w:p>
      <w:pPr>
        <w:spacing w:line="400" w:after="200"/>
        <w:jc w:val="center"/>
      </w:pPr>
      <w:r>
        <w:rPr>
          <w:rFonts w:ascii="Calibri" w:cs="Calibri" w:eastAsia="Calibri" w:hAnsi="Calibri"/>
          <w:color w:val="1B3A5C"/>
          <w:sz w:val="28"/>
          <w:szCs w:val="28"/>
        </w:rPr>
        <w:t xml:space="preserve">Profitable From Day One</w:t>
      </w:r>
    </w:p>
    <w:p>
      <w:pPr>
        <w:spacing w:line="400"/>
        <w:jc w:val="center"/>
      </w:pPr>
      <w:r>
        <w:t xml:space="preserve"/>
      </w:r>
    </w:p>
    <w:p>
      <w:pPr>
        <w:spacing w:line="200" w:after="200"/>
        <w:jc w:val="center"/>
      </w:pPr>
      <w:r>
        <w:rPr>
          <w:rFonts w:ascii="Calibri" w:cs="Calibri" w:eastAsia="Calibri" w:hAnsi="Calibri"/>
          <w:color w:val="333333"/>
          <w:sz w:val="24"/>
          <w:szCs w:val="24"/>
        </w:rPr>
        <w:t xml:space="preserve">NextGen Mission Critical</w:t>
      </w:r>
    </w:p>
    <w:p>
      <w:pPr>
        <w:spacing w:line="200"/>
        <w:jc w:val="center"/>
      </w:pPr>
      <w:r>
        <w:rPr>
          <w:rFonts w:ascii="Calibri" w:cs="Calibri" w:eastAsia="Calibri" w:hAnsi="Calibri"/>
          <w:color w:val="333333"/>
          <w:sz w:val="24"/>
          <w:szCs w:val="24"/>
        </w:rPr>
        <w:t xml:space="preserve">February 2026</w:t>
      </w:r>
    </w:p>
    <w:p>
      <w:r>
        <w:br w:type="page"/>
      </w:r>
    </w:p>
    <w:p>
      <w:pPr>
        <w:pStyle w:val="Heading1"/>
        <w:spacing w:line="400" w:after="200"/>
        <w:outlineLvl w:val="0"/>
      </w:pPr>
      <w:r>
        <w:rPr>
          <w:rFonts w:ascii="Calibri" w:cs="Calibri" w:eastAsia="Calibri" w:hAnsi="Calibri"/>
          <w:b/>
          <w:bCs/>
          <w:color w:val="1B3A5C"/>
          <w:sz w:val="28"/>
          <w:szCs w:val="28"/>
        </w:rPr>
        <w:t xml:space="preserve">1. EXECUTIVE SUMMARY</w:t>
      </w:r>
    </w:p>
    <w:p>
      <w:pPr>
        <w:spacing w:line="300"/>
        <w:jc w:val="left"/>
      </w:pPr>
      <w:r>
        <w:rPr>
          <w:rFonts w:ascii="Calibri" w:cs="Calibri" w:eastAsia="Calibri" w:hAnsi="Calibri"/>
          <w:b w:val="false"/>
          <w:bCs w:val="false"/>
          <w:color w:val="000000"/>
          <w:sz w:val="22"/>
          <w:szCs w:val="22"/>
        </w:rPr>
        <w:t xml:space="preserve">The datacenter-mcp-server represents a paradigm shift in SaaS profitability. By operating at zero fixed costs from day one, we achieve:</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Profitable from Month 1: $4,853.70 net profit with zero infrastructure costs</w:t>
      </w:r>
    </w:p>
    <w:p>
      <w:pPr>
        <w:spacing w:line="300"/>
        <w:jc w:val="left"/>
      </w:pPr>
      <w:r>
        <w:rPr>
          <w:rFonts w:ascii="Calibri" w:cs="Calibri" w:eastAsia="Calibri" w:hAnsi="Calibri"/>
          <w:b w:val="false"/>
          <w:bCs w:val="false"/>
          <w:color w:val="000000"/>
          <w:sz w:val="22"/>
          <w:szCs w:val="22"/>
        </w:rPr>
        <w:t xml:space="preserve">Three Revenue Streams: Consulting, Subscriptions, and Partnerships</w:t>
      </w:r>
    </w:p>
    <w:p>
      <w:pPr>
        <w:spacing w:line="300"/>
        <w:jc w:val="left"/>
      </w:pPr>
      <w:r>
        <w:rPr>
          <w:rFonts w:ascii="Calibri" w:cs="Calibri" w:eastAsia="Calibri" w:hAnsi="Calibri"/>
          <w:b w:val="false"/>
          <w:bCs w:val="false"/>
          <w:color w:val="000000"/>
          <w:sz w:val="22"/>
          <w:szCs w:val="22"/>
        </w:rPr>
        <w:t xml:space="preserve">Year 1 Revenue: $424,704 with 96.8% profit margin</w:t>
      </w:r>
    </w:p>
    <w:p>
      <w:pPr>
        <w:spacing w:line="300"/>
        <w:jc w:val="left"/>
      </w:pPr>
      <w:r>
        <w:rPr>
          <w:rFonts w:ascii="Calibri" w:cs="Calibri" w:eastAsia="Calibri" w:hAnsi="Calibri"/>
          <w:b w:val="false"/>
          <w:bCs w:val="false"/>
          <w:color w:val="000000"/>
          <w:sz w:val="22"/>
          <w:szCs w:val="22"/>
        </w:rPr>
        <w:t xml:space="preserve">Cumulative Year 1 Profit: $411,284.18</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The strategy leverages MCP (Model Context Protocol) servers deployed on free cloud tiers, zero-marginal-cost technology, and organic growth through ecosystem partnerships. By Month 12, we project 28 paid customers, 222 free users, and a monthly recurring revenue run rate of $900,864 annualized.</w:t>
      </w:r>
    </w:p>
    <w:p>
      <w:pPr>
        <w:pStyle w:val="Heading1"/>
        <w:spacing w:line="400" w:after="200"/>
        <w:outlineLvl w:val="0"/>
      </w:pPr>
      <w:r>
        <w:rPr>
          <w:rFonts w:ascii="Calibri" w:cs="Calibri" w:eastAsia="Calibri" w:hAnsi="Calibri"/>
          <w:b/>
          <w:bCs/>
          <w:color w:val="1B3A5C"/>
          <w:sz w:val="28"/>
          <w:szCs w:val="28"/>
        </w:rPr>
        <w:t xml:space="preserve">2. THE ZERO-BURN PRINCIPLE</w:t>
      </w:r>
    </w:p>
    <w:p>
      <w:pPr>
        <w:pStyle w:val="Heading2"/>
        <w:spacing w:line="300" w:after="200"/>
        <w:outlineLvl w:val="1"/>
      </w:pPr>
      <w:r>
        <w:rPr>
          <w:rFonts w:ascii="Calibri" w:cs="Calibri" w:eastAsia="Calibri" w:hAnsi="Calibri"/>
          <w:b/>
          <w:bCs/>
          <w:color w:val="2E8B57"/>
          <w:sz w:val="24"/>
          <w:szCs w:val="24"/>
        </w:rPr>
        <w:t xml:space="preserve">Why $0 Fixed Costs Works</w:t>
      </w:r>
    </w:p>
    <w:p>
      <w:pPr>
        <w:spacing w:line="300"/>
        <w:jc w:val="left"/>
      </w:pPr>
      <w:r>
        <w:rPr>
          <w:rFonts w:ascii="Calibri" w:cs="Calibri" w:eastAsia="Calibri" w:hAnsi="Calibri"/>
          <w:b w:val="false"/>
          <w:bCs w:val="false"/>
          <w:color w:val="000000"/>
          <w:sz w:val="22"/>
          <w:szCs w:val="22"/>
        </w:rPr>
        <w:t xml:space="preserve">Free Cloud Tiers: AWS Lambda, Google Cloud Run, and Supabase offer perpetual free tiers sufficient for our initial scale. No credit card risk, no auto-scaling bills.</w:t>
      </w:r>
    </w:p>
    <w:p>
      <w:pPr>
        <w:spacing w:line="300"/>
        <w:jc w:val="left"/>
      </w:pPr>
      <w:r>
        <w:rPr>
          <w:rFonts w:ascii="Calibri" w:cs="Calibri" w:eastAsia="Calibri" w:hAnsi="Calibri"/>
          <w:b w:val="false"/>
          <w:bCs w:val="false"/>
          <w:color w:val="000000"/>
          <w:sz w:val="22"/>
          <w:szCs w:val="22"/>
        </w:rPr>
        <w:t xml:space="preserve">MCP Servers Have Zero Marginal Cost: Each additional user adds virtually no infrastructure cost. The protocol is designed for serverless deployment.</w:t>
      </w:r>
    </w:p>
    <w:p>
      <w:pPr>
        <w:spacing w:line="300"/>
        <w:jc w:val="left"/>
      </w:pPr>
      <w:r>
        <w:rPr>
          <w:rFonts w:ascii="Calibri" w:cs="Calibri" w:eastAsia="Calibri" w:hAnsi="Calibri"/>
          <w:b w:val="false"/>
          <w:bCs w:val="false"/>
          <w:color w:val="000000"/>
          <w:sz w:val="22"/>
          <w:szCs w:val="22"/>
        </w:rPr>
        <w:t xml:space="preserve">Organic Marketing: Open-source reputation, GitHub visibility, and word-of-mouth drive user acquisition at zero cost. No paid ads, no sales team.</w:t>
      </w:r>
    </w:p>
    <w:p>
      <w:pPr>
        <w:spacing w:line="300"/>
        <w:jc w:val="left"/>
      </w:pPr>
      <w:r>
        <w:rPr>
          <w:rFonts w:ascii="Calibri" w:cs="Calibri" w:eastAsia="Calibri" w:hAnsi="Calibri"/>
          <w:b w:val="false"/>
          <w:bCs w:val="false"/>
          <w:color w:val="000000"/>
          <w:sz w:val="22"/>
          <w:szCs w:val="22"/>
        </w:rPr>
        <w:t xml:space="preserve">Domain Expertise Moat: The two-person team brings 25+ years of datacenter and infrastructure experience. This expertise cannot be easily replicated.</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This model inverts the traditional VC-backed SaaS playbook: instead of burning cash to build a user base, we build the user base and monetize profitably.</w:t>
      </w:r>
    </w:p>
    <w:p>
      <w:pPr>
        <w:pStyle w:val="Heading1"/>
        <w:spacing w:line="400" w:after="200"/>
        <w:outlineLvl w:val="0"/>
      </w:pPr>
      <w:r>
        <w:rPr>
          <w:rFonts w:ascii="Calibri" w:cs="Calibri" w:eastAsia="Calibri" w:hAnsi="Calibri"/>
          <w:b/>
          <w:bCs/>
          <w:color w:val="1B3A5C"/>
          <w:sz w:val="28"/>
          <w:szCs w:val="28"/>
        </w:rPr>
        <w:t xml:space="preserve">3. THREE REVENUE STREAMS</w:t>
      </w:r>
    </w:p>
    <w:p>
      <w:pPr>
        <w:pStyle w:val="Heading2"/>
        <w:spacing w:line="300" w:after="200"/>
        <w:outlineLvl w:val="1"/>
      </w:pPr>
      <w:r>
        <w:rPr>
          <w:rFonts w:ascii="Calibri" w:cs="Calibri" w:eastAsia="Calibri" w:hAnsi="Calibri"/>
          <w:b/>
          <w:bCs/>
          <w:color w:val="2E8B57"/>
          <w:sz w:val="24"/>
          <w:szCs w:val="24"/>
        </w:rPr>
        <w:t xml:space="preserve">3.1 Productized Consulting</w:t>
      </w:r>
    </w:p>
    <w:p>
      <w:pPr>
        <w:spacing w:line="300"/>
        <w:jc w:val="left"/>
      </w:pPr>
      <w:r>
        <w:rPr>
          <w:rFonts w:ascii="Calibri" w:cs="Calibri" w:eastAsia="Calibri" w:hAnsi="Calibri"/>
          <w:b w:val="false"/>
          <w:bCs w:val="false"/>
          <w:color w:val="000000"/>
          <w:sz w:val="22"/>
          <w:szCs w:val="22"/>
        </w:rPr>
        <w:t xml:space="preserve">Price Range: $5,000 - $10,000 per project</w:t>
      </w:r>
    </w:p>
    <w:p>
      <w:pPr>
        <w:spacing w:line="300"/>
        <w:jc w:val="left"/>
      </w:pPr>
      <w:r>
        <w:rPr>
          <w:rFonts w:ascii="Calibri" w:cs="Calibri" w:eastAsia="Calibri" w:hAnsi="Calibri"/>
          <w:b w:val="false"/>
          <w:bCs w:val="false"/>
          <w:color w:val="000000"/>
          <w:sz w:val="22"/>
          <w:szCs w:val="22"/>
        </w:rPr>
        <w:t xml:space="preserve">Margin: 80%+ (5-15 hours of billable time per project)</w:t>
      </w:r>
    </w:p>
    <w:p>
      <w:pPr>
        <w:spacing w:line="300"/>
        <w:jc w:val="left"/>
      </w:pPr>
      <w:r>
        <w:rPr>
          <w:rFonts w:ascii="Calibri" w:cs="Calibri" w:eastAsia="Calibri" w:hAnsi="Calibri"/>
          <w:b w:val="false"/>
          <w:bCs w:val="false"/>
          <w:color w:val="000000"/>
          <w:sz w:val="22"/>
          <w:szCs w:val="22"/>
        </w:rPr>
        <w:t xml:space="preserve">Start: Week 1 (pre-built playbooks leverage existing expertise)</w:t>
      </w:r>
    </w:p>
    <w:p>
      <w:pPr>
        <w:spacing w:line="300"/>
        <w:jc w:val="left"/>
      </w:pPr>
      <w:r>
        <w:rPr>
          <w:rFonts w:ascii="Calibri" w:cs="Calibri" w:eastAsia="Calibri" w:hAnsi="Calibri"/>
          <w:b w:val="false"/>
          <w:bCs w:val="false"/>
          <w:color w:val="000000"/>
          <w:sz w:val="22"/>
          <w:szCs w:val="22"/>
        </w:rPr>
        <w:t xml:space="preserve">Fast-track projects for enterprises wanting to integrate MCP servers into their datacenter workflows. Typical engagement: 2-4 week implementation.</w:t>
      </w:r>
    </w:p>
    <w:p>
      <w:pPr>
        <w:spacing w:line="300"/>
        <w:jc w:val="left"/>
      </w:pPr>
      <w:r>
        <w:rPr>
          <w:rFonts w:ascii="Calibri" w:cs="Calibri" w:eastAsia="Calibri" w:hAnsi="Calibri"/>
          <w:b w:val="false"/>
          <w:bCs w:val="false"/>
          <w:color w:val="000000"/>
          <w:sz w:val="22"/>
          <w:szCs w:val="22"/>
        </w:rPr>
        <w:t xml:space="preserve"/>
      </w:r>
    </w:p>
    <w:p>
      <w:pPr>
        <w:pStyle w:val="Heading2"/>
        <w:spacing w:line="300" w:after="200"/>
        <w:outlineLvl w:val="1"/>
      </w:pPr>
      <w:r>
        <w:rPr>
          <w:rFonts w:ascii="Calibri" w:cs="Calibri" w:eastAsia="Calibri" w:hAnsi="Calibri"/>
          <w:b/>
          <w:bCs/>
          <w:color w:val="2E8B57"/>
          <w:sz w:val="24"/>
          <w:szCs w:val="24"/>
        </w:rPr>
        <w:t xml:space="preserve">3.2 Subscriptions</w:t>
      </w:r>
    </w:p>
    <w:p>
      <w:pPr>
        <w:spacing w:line="300"/>
        <w:jc w:val="left"/>
      </w:pPr>
      <w:r>
        <w:rPr>
          <w:rFonts w:ascii="Calibri" w:cs="Calibri" w:eastAsia="Calibri" w:hAnsi="Calibri"/>
          <w:b w:val="false"/>
          <w:bCs w:val="false"/>
          <w:color w:val="000000"/>
          <w:sz w:val="22"/>
          <w:szCs w:val="22"/>
        </w:rPr>
        <w:t xml:space="preserve">Starter Tier: $149/month (5 deployments, community support)</w:t>
      </w:r>
    </w:p>
    <w:p>
      <w:pPr>
        <w:spacing w:line="300"/>
        <w:jc w:val="left"/>
      </w:pPr>
      <w:r>
        <w:rPr>
          <w:rFonts w:ascii="Calibri" w:cs="Calibri" w:eastAsia="Calibri" w:hAnsi="Calibri"/>
          <w:b w:val="false"/>
          <w:bCs w:val="false"/>
          <w:color w:val="000000"/>
          <w:sz w:val="22"/>
          <w:szCs w:val="22"/>
        </w:rPr>
        <w:t xml:space="preserve">Pro Tier: $599/month (unlimited deployments, email support)</w:t>
      </w:r>
    </w:p>
    <w:p>
      <w:pPr>
        <w:spacing w:line="300"/>
        <w:jc w:val="left"/>
      </w:pPr>
      <w:r>
        <w:rPr>
          <w:rFonts w:ascii="Calibri" w:cs="Calibri" w:eastAsia="Calibri" w:hAnsi="Calibri"/>
          <w:b w:val="false"/>
          <w:bCs w:val="false"/>
          <w:color w:val="000000"/>
          <w:sz w:val="22"/>
          <w:szCs w:val="22"/>
        </w:rPr>
        <w:t xml:space="preserve">Enterprise Tier: $2,999/month (custom integrations, SLA, priority support)</w:t>
      </w:r>
    </w:p>
    <w:p>
      <w:pPr>
        <w:spacing w:line="300"/>
        <w:jc w:val="left"/>
      </w:pPr>
      <w:r>
        <w:rPr>
          <w:rFonts w:ascii="Calibri" w:cs="Calibri" w:eastAsia="Calibri" w:hAnsi="Calibri"/>
          <w:b w:val="false"/>
          <w:bCs w:val="false"/>
          <w:color w:val="000000"/>
          <w:sz w:val="22"/>
          <w:szCs w:val="22"/>
        </w:rPr>
        <w:t xml:space="preserve">Hybrid Usage-Based: Pro and Enterprise tiers include $200-$500 monthly overage budgets for high-traffic integrations.</w:t>
      </w:r>
    </w:p>
    <w:p>
      <w:pPr>
        <w:spacing w:line="300"/>
        <w:jc w:val="left"/>
      </w:pPr>
      <w:r>
        <w:rPr>
          <w:rFonts w:ascii="Calibri" w:cs="Calibri" w:eastAsia="Calibri" w:hAnsi="Calibri"/>
          <w:b w:val="false"/>
          <w:bCs w:val="false"/>
          <w:color w:val="000000"/>
          <w:sz w:val="22"/>
          <w:szCs w:val="22"/>
        </w:rPr>
        <w:t xml:space="preserve"/>
      </w:r>
    </w:p>
    <w:p>
      <w:pPr>
        <w:pStyle w:val="Heading2"/>
        <w:spacing w:line="300" w:after="200"/>
        <w:outlineLvl w:val="1"/>
      </w:pPr>
      <w:r>
        <w:rPr>
          <w:rFonts w:ascii="Calibri" w:cs="Calibri" w:eastAsia="Calibri" w:hAnsi="Calibri"/>
          <w:b/>
          <w:bCs/>
          <w:color w:val="2E8B57"/>
          <w:sz w:val="24"/>
          <w:szCs w:val="24"/>
        </w:rPr>
        <w:t xml:space="preserve">3.3 Partnerships</w:t>
      </w:r>
    </w:p>
    <w:p>
      <w:pPr>
        <w:spacing w:line="300"/>
        <w:jc w:val="left"/>
      </w:pPr>
      <w:r>
        <w:rPr>
          <w:rFonts w:ascii="Calibri" w:cs="Calibri" w:eastAsia="Calibri" w:hAnsi="Calibri"/>
          <w:b w:val="false"/>
          <w:bCs w:val="false"/>
          <w:color w:val="000000"/>
          <w:sz w:val="22"/>
          <w:szCs w:val="22"/>
        </w:rPr>
        <w:t xml:space="preserve">White-Label Deployments: Partners resell datacenter-mcp-server as their own branded solution ($2K-$5K monthly fees)</w:t>
      </w:r>
    </w:p>
    <w:p>
      <w:pPr>
        <w:spacing w:line="300"/>
        <w:jc w:val="left"/>
      </w:pPr>
      <w:r>
        <w:rPr>
          <w:rFonts w:ascii="Calibri" w:cs="Calibri" w:eastAsia="Calibri" w:hAnsi="Calibri"/>
          <w:b w:val="false"/>
          <w:bCs w:val="false"/>
          <w:color w:val="000000"/>
          <w:sz w:val="22"/>
          <w:szCs w:val="22"/>
        </w:rPr>
        <w:t xml:space="preserve">API Integrations: Premium integrations with third-party platforms (AWS Marketplace, Terraform Cloud, etc.) command $5K-$10K/month licensing</w:t>
      </w:r>
    </w:p>
    <w:p>
      <w:pPr>
        <w:spacing w:line="300"/>
        <w:jc w:val="left"/>
      </w:pPr>
      <w:r>
        <w:rPr>
          <w:rFonts w:ascii="Calibri" w:cs="Calibri" w:eastAsia="Calibri" w:hAnsi="Calibri"/>
          <w:b w:val="false"/>
          <w:bCs w:val="false"/>
          <w:color w:val="000000"/>
          <w:sz w:val="22"/>
          <w:szCs w:val="22"/>
        </w:rPr>
        <w:t xml:space="preserve">Target partners include cloud providers, infrastructure automation platforms, and DevOps tooling vendors seeking to expand their MCP ecosystem.</w:t>
      </w:r>
    </w:p>
    <w:p>
      <w:pPr>
        <w:pStyle w:val="Heading1"/>
        <w:spacing w:line="400" w:after="200"/>
        <w:outlineLvl w:val="0"/>
      </w:pPr>
      <w:r>
        <w:rPr>
          <w:rFonts w:ascii="Calibri" w:cs="Calibri" w:eastAsia="Calibri" w:hAnsi="Calibri"/>
          <w:b/>
          <w:bCs/>
          <w:color w:val="1B3A5C"/>
          <w:sz w:val="28"/>
          <w:szCs w:val="28"/>
        </w:rPr>
        <w:t xml:space="preserve">4. 12-MONTH FINANCIAL PROJECTION</w:t>
      </w:r>
    </w:p>
    <w:p>
      <w:pPr>
        <w:spacing w:line="300"/>
        <w:jc w:val="left"/>
      </w:pPr>
      <w:r>
        <w:rPr>
          <w:rFonts w:ascii="Calibri" w:cs="Calibri" w:eastAsia="Calibri" w:hAnsi="Calibri"/>
          <w:b w:val="false"/>
          <w:bCs w:val="false"/>
          <w:color w:val="000000"/>
          <w:sz w:val="22"/>
          <w:szCs w:val="22"/>
        </w:rPr>
        <w:t xml:space="preserve">All figures show the path to profitability from Month 1 through Year-End scaling.</w:t>
      </w:r>
    </w:p>
    <w:tbl>
      <w:tblPr>
        <w:tblW w:type="dxa" w:w="9360"/>
        <w:tblBorders>
          <w:top w:val="single" w:color="1B3A5C" w:sz="6"/>
          <w:left w:val="single" w:color="1B3A5C" w:sz="6"/>
          <w:bottom w:val="single" w:color="1B3A5C" w:sz="6"/>
          <w:right w:val="single" w:color="1B3A5C" w:sz="6"/>
          <w:insideH w:val="single" w:color="999999" w:sz="1"/>
          <w:insideV w:val="single" w:color="999999" w:sz="1"/>
        </w:tblBorders>
      </w:tblPr>
      <w:tblGrid>
        <w:gridCol w:w="100"/>
        <w:gridCol w:w="100"/>
        <w:gridCol w:w="100"/>
        <w:gridCol w:w="100"/>
        <w:gridCol w:w="100"/>
        <w:gridCol w:w="100"/>
        <w:gridCol w:w="100"/>
        <w:gridCol w:w="100"/>
        <w:gridCol w:w="100"/>
      </w:tblGrid>
      <w:tr>
        <w:tc>
          <w:tcPr>
            <w:tcW w:type="dxa" w:w="6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Month</w:t>
            </w:r>
          </w:p>
        </w:tc>
        <w:tc>
          <w:tcPr>
            <w:tcW w:type="dxa" w:w="10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Consulting</w:t>
            </w:r>
          </w:p>
        </w:tc>
        <w:tc>
          <w:tcPr>
            <w:tcW w:type="dxa" w:w="10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Subscriptions</w:t>
            </w:r>
          </w:p>
        </w:tc>
        <w:tc>
          <w:tcPr>
            <w:tcW w:type="dxa" w:w="10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Partnerships</w:t>
            </w:r>
          </w:p>
        </w:tc>
        <w:tc>
          <w:tcPr>
            <w:tcW w:type="dxa" w:w="11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Total Revenue</w:t>
            </w:r>
          </w:p>
        </w:tc>
        <w:tc>
          <w:tcPr>
            <w:tcW w:type="dxa" w:w="8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Costs</w:t>
            </w:r>
          </w:p>
        </w:tc>
        <w:tc>
          <w:tcPr>
            <w:tcW w:type="dxa" w:w="10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Net Profit</w:t>
            </w:r>
          </w:p>
        </w:tc>
        <w:tc>
          <w:tcPr>
            <w:tcW w:type="dxa" w:w="10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Cumulative</w:t>
            </w:r>
          </w:p>
        </w:tc>
        <w:tc>
          <w:tcPr>
            <w:tcW w:type="dxa" w:w="8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Margin %</w:t>
            </w:r>
          </w:p>
        </w:tc>
      </w:tr>
      <w:tr>
        <w:tc>
          <w:tcPr>
            <w:tcW w:type="dxa" w:w="6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M1</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c>
          <w:tcPr>
            <w:tcW w:type="dxa" w:w="11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$5,000</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$146</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$4,854</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$4,854</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97.1%</w:t>
            </w:r>
          </w:p>
        </w:tc>
      </w:tr>
      <w:tr>
        <w:tc>
          <w:tcPr>
            <w:tcW w:type="dxa" w:w="6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M2</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c>
          <w:tcPr>
            <w:tcW w:type="dxa" w:w="11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$5,000</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$146</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$4,854</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$9,707</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97.1%</w:t>
            </w:r>
          </w:p>
        </w:tc>
      </w:tr>
      <w:tr>
        <w:tc>
          <w:tcPr>
            <w:tcW w:type="dxa" w:w="6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M3</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$12,000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$149</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c>
          <w:tcPr>
            <w:tcW w:type="dxa" w:w="11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$12,149</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$354</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$11,795</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$21,502</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97.1%</w:t>
            </w:r>
          </w:p>
        </w:tc>
      </w:tr>
      <w:tr>
        <w:tc>
          <w:tcPr>
            <w:tcW w:type="dxa" w:w="6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M4</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$14,000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$149</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$2,000</w:t>
            </w:r>
          </w:p>
        </w:tc>
        <w:tc>
          <w:tcPr>
            <w:tcW w:type="dxa" w:w="11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$16,149</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$520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$15,629</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$37,131</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96.8%</w:t>
            </w:r>
          </w:p>
        </w:tc>
      </w:tr>
      <w:tr>
        <w:tc>
          <w:tcPr>
            <w:tcW w:type="dxa" w:w="6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M5</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$22,500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$298</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$2,000</w:t>
            </w:r>
          </w:p>
        </w:tc>
        <w:tc>
          <w:tcPr>
            <w:tcW w:type="dxa" w:w="11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$24,798</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$772</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$24,026</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$61,157</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96.9%</w:t>
            </w:r>
          </w:p>
        </w:tc>
      </w:tr>
      <w:tr>
        <w:tc>
          <w:tcPr>
            <w:tcW w:type="dxa" w:w="6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M6</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$24,000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$447</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$3,500</w:t>
            </w:r>
          </w:p>
        </w:tc>
        <w:tc>
          <w:tcPr>
            <w:tcW w:type="dxa" w:w="11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$27,947</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$863</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$27,084</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$88,241</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96.9%</w:t>
            </w:r>
          </w:p>
        </w:tc>
      </w:tr>
      <w:tr>
        <w:tc>
          <w:tcPr>
            <w:tcW w:type="dxa" w:w="6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M7</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$32,000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$745</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$3,500</w:t>
            </w:r>
          </w:p>
        </w:tc>
        <w:tc>
          <w:tcPr>
            <w:tcW w:type="dxa" w:w="11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$36,245</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$1,155</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$35,090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$123,331</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96.8%</w:t>
            </w:r>
          </w:p>
        </w:tc>
      </w:tr>
      <w:tr>
        <w:tc>
          <w:tcPr>
            <w:tcW w:type="dxa" w:w="6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M8</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$34,000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$4,641</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$5,000</w:t>
            </w:r>
          </w:p>
        </w:tc>
        <w:tc>
          <w:tcPr>
            <w:tcW w:type="dxa" w:w="11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$43,641</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$1,370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$42,271</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$165,602</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96.9%</w:t>
            </w:r>
          </w:p>
        </w:tc>
      </w:tr>
      <w:tr>
        <w:tc>
          <w:tcPr>
            <w:tcW w:type="dxa" w:w="6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M9</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$45,000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$2,089</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$5,000</w:t>
            </w:r>
          </w:p>
        </w:tc>
        <w:tc>
          <w:tcPr>
            <w:tcW w:type="dxa" w:w="11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$52,089</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$1,616</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$50,473</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$216,074</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96.9%</w:t>
            </w:r>
          </w:p>
        </w:tc>
      </w:tr>
      <w:tr>
        <w:tc>
          <w:tcPr>
            <w:tcW w:type="dxa" w:w="6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M10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$45,000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$2,685</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$7,000</w:t>
            </w:r>
          </w:p>
        </w:tc>
        <w:tc>
          <w:tcPr>
            <w:tcW w:type="dxa" w:w="11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$54,685</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$1,793</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$52,892</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$268,967</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96.7%</w:t>
            </w:r>
          </w:p>
        </w:tc>
      </w:tr>
      <w:tr>
        <w:tc>
          <w:tcPr>
            <w:tcW w:type="dxa" w:w="6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M11</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$57,000</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$6,429</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$8,500</w:t>
            </w:r>
          </w:p>
        </w:tc>
        <w:tc>
          <w:tcPr>
            <w:tcW w:type="dxa" w:w="11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$71,929</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$2,295</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$69,634</w:t>
            </w:r>
          </w:p>
        </w:tc>
        <w:tc>
          <w:tcPr>
            <w:tcW w:type="dxa" w:w="10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$338,600</w:t>
            </w:r>
          </w:p>
        </w:tc>
        <w:tc>
          <w:tcPr>
            <w:tcW w:type="dxa" w:w="80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96.8%</w:t>
            </w:r>
          </w:p>
        </w:tc>
      </w:tr>
      <w:tr>
        <w:tc>
          <w:tcPr>
            <w:tcW w:type="dxa" w:w="6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M12</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$60,000</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$5,072</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$10,000</w:t>
            </w:r>
          </w:p>
        </w:tc>
        <w:tc>
          <w:tcPr>
            <w:tcW w:type="dxa" w:w="11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$75,072</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$2,388</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$72,684</w:t>
            </w:r>
          </w:p>
        </w:tc>
        <w:tc>
          <w:tcPr>
            <w:tcW w:type="dxa" w:w="10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$411,284</w:t>
            </w:r>
          </w:p>
        </w:tc>
        <w:tc>
          <w:tcPr>
            <w:tcW w:type="dxa" w:w="80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96.8%</w:t>
            </w:r>
          </w:p>
        </w:tc>
      </w:tr>
    </w:tbl>
    <w:p>
      <w:r>
        <w:br w:type="page"/>
      </w:r>
    </w:p>
    <w:p>
      <w:pPr>
        <w:pStyle w:val="Heading1"/>
        <w:spacing w:line="400" w:after="200"/>
        <w:outlineLvl w:val="0"/>
      </w:pPr>
      <w:r>
        <w:rPr>
          <w:rFonts w:ascii="Calibri" w:cs="Calibri" w:eastAsia="Calibri" w:hAnsi="Calibri"/>
          <w:b/>
          <w:bCs/>
          <w:color w:val="1B3A5C"/>
          <w:sz w:val="28"/>
          <w:szCs w:val="28"/>
        </w:rPr>
        <w:t xml:space="preserve">5. REVENUE MIX AT MONTH 12</w:t>
      </w:r>
    </w:p>
    <w:p>
      <w:pPr>
        <w:spacing w:line="300"/>
        <w:jc w:val="left"/>
      </w:pPr>
      <w:r>
        <w:rPr>
          <w:rFonts w:ascii="Calibri" w:cs="Calibri" w:eastAsia="Calibri" w:hAnsi="Calibri"/>
          <w:b w:val="false"/>
          <w:bCs w:val="false"/>
          <w:color w:val="000000"/>
          <w:sz w:val="22"/>
          <w:szCs w:val="22"/>
        </w:rPr>
        <w:t xml:space="preserve">At Month 12, total monthly revenue reaches $75,072 with the following distribution:</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Consulting Revenue: $60,000 (79.9% of monthly revenue)</w:t>
      </w:r>
    </w:p>
    <w:p>
      <w:pPr>
        <w:spacing w:line="300"/>
        <w:jc w:val="left"/>
      </w:pPr>
      <w:r>
        <w:rPr>
          <w:rFonts w:ascii="Calibri" w:cs="Calibri" w:eastAsia="Calibri" w:hAnsi="Calibri"/>
          <w:b w:val="false"/>
          <w:bCs w:val="false"/>
          <w:color w:val="000000"/>
          <w:sz w:val="22"/>
          <w:szCs w:val="22"/>
        </w:rPr>
        <w:t xml:space="preserve">Subscription Revenue: $5,072 (6.7% of monthly revenue)</w:t>
      </w:r>
    </w:p>
    <w:p>
      <w:pPr>
        <w:spacing w:line="300"/>
        <w:jc w:val="left"/>
      </w:pPr>
      <w:r>
        <w:rPr>
          <w:rFonts w:ascii="Calibri" w:cs="Calibri" w:eastAsia="Calibri" w:hAnsi="Calibri"/>
          <w:b w:val="false"/>
          <w:bCs w:val="false"/>
          <w:color w:val="000000"/>
          <w:sz w:val="22"/>
          <w:szCs w:val="22"/>
        </w:rPr>
        <w:t xml:space="preserve">Partnership Revenue: $10,000 (13.3% of monthly revenue)</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666666"/>
          <w:sz w:val="22"/>
          <w:szCs w:val="22"/>
        </w:rPr>
        <w:t xml:space="preserve">[Revenue Distribution Pie Chart: 80% Consulting (dark blue), 7% Subscriptions (green), 13% Partnerships (teal)]</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By Month 12, subscription revenue begins accelerating with 26 Starter, 2 Pro, and consideration for the first Enterprise tier. Consulting remains the primary revenue driver due to high-touch engagements with enterprise customers.</w:t>
      </w:r>
    </w:p>
    <w:p>
      <w:pPr>
        <w:pStyle w:val="Heading1"/>
        <w:spacing w:line="400" w:after="200"/>
        <w:outlineLvl w:val="0"/>
      </w:pPr>
      <w:r>
        <w:rPr>
          <w:rFonts w:ascii="Calibri" w:cs="Calibri" w:eastAsia="Calibri" w:hAnsi="Calibri"/>
          <w:b/>
          <w:bCs/>
          <w:color w:val="1B3A5C"/>
          <w:sz w:val="28"/>
          <w:szCs w:val="28"/>
        </w:rPr>
        <w:t xml:space="preserve">6. THE 8-TOOL ARSENAL</w:t>
      </w:r>
    </w:p>
    <w:p>
      <w:pPr>
        <w:spacing w:line="300"/>
        <w:jc w:val="left"/>
      </w:pPr>
      <w:r>
        <w:rPr>
          <w:rFonts w:ascii="Calibri" w:cs="Calibri" w:eastAsia="Calibri" w:hAnsi="Calibri"/>
          <w:b w:val="false"/>
          <w:bCs w:val="false"/>
          <w:color w:val="000000"/>
          <w:sz w:val="22"/>
          <w:szCs w:val="22"/>
        </w:rPr>
        <w:t xml:space="preserve">Our toolkit powers the zero-burn model by enabling rapid, high-margin consulting and seamless integrations:</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1. MCP Server Framework - The foundation for all integrations; enables partners to deploy private instances.</w:t>
      </w:r>
    </w:p>
    <w:p>
      <w:pPr>
        <w:spacing w:line="300"/>
        <w:jc w:val="left"/>
      </w:pPr>
      <w:r>
        <w:rPr>
          <w:rFonts w:ascii="Calibri" w:cs="Calibri" w:eastAsia="Calibri" w:hAnsi="Calibri"/>
          <w:b w:val="false"/>
          <w:bCs w:val="false"/>
          <w:color w:val="000000"/>
          <w:sz w:val="22"/>
          <w:szCs w:val="22"/>
        </w:rPr>
        <w:t xml:space="preserve">2. Datacenter CLI - Command-line tool for rapid datacenter automation; used in all consulting engagements.</w:t>
      </w:r>
    </w:p>
    <w:p>
      <w:pPr>
        <w:spacing w:line="300"/>
        <w:jc w:val="left"/>
      </w:pPr>
      <w:r>
        <w:rPr>
          <w:rFonts w:ascii="Calibri" w:cs="Calibri" w:eastAsia="Calibri" w:hAnsi="Calibri"/>
          <w:b w:val="false"/>
          <w:bCs w:val="false"/>
          <w:color w:val="000000"/>
          <w:sz w:val="22"/>
          <w:szCs w:val="22"/>
        </w:rPr>
        <w:t xml:space="preserve">3. Cloud Provider Connectors - Pre-built integrations for AWS, Google Cloud, Azure; reduces consulting time by 60%.</w:t>
      </w:r>
    </w:p>
    <w:p>
      <w:pPr>
        <w:spacing w:line="300"/>
        <w:jc w:val="left"/>
      </w:pPr>
      <w:r>
        <w:rPr>
          <w:rFonts w:ascii="Calibri" w:cs="Calibri" w:eastAsia="Calibri" w:hAnsi="Calibri"/>
          <w:b w:val="false"/>
          <w:bCs w:val="false"/>
          <w:color w:val="000000"/>
          <w:sz w:val="22"/>
          <w:szCs w:val="22"/>
        </w:rPr>
        <w:t xml:space="preserve">4. Cost Analyzer - Real-time cloud spending insights; a premium feature in Pro and Enterprise tiers.</w:t>
      </w:r>
    </w:p>
    <w:p>
      <w:pPr>
        <w:spacing w:line="300"/>
        <w:jc w:val="left"/>
      </w:pPr>
      <w:r>
        <w:rPr>
          <w:rFonts w:ascii="Calibri" w:cs="Calibri" w:eastAsia="Calibri" w:hAnsi="Calibri"/>
          <w:b w:val="false"/>
          <w:bCs w:val="false"/>
          <w:color w:val="000000"/>
          <w:sz w:val="22"/>
          <w:szCs w:val="22"/>
        </w:rPr>
        <w:t xml:space="preserve">5. Security Audit Module - Compliance scanning (SOC 2, HIPAA, PCI); $3K-$8K per engagement.</w:t>
      </w:r>
    </w:p>
    <w:p>
      <w:pPr>
        <w:spacing w:line="300"/>
        <w:jc w:val="left"/>
      </w:pPr>
      <w:r>
        <w:rPr>
          <w:rFonts w:ascii="Calibri" w:cs="Calibri" w:eastAsia="Calibri" w:hAnsi="Calibri"/>
          <w:b w:val="false"/>
          <w:bCs w:val="false"/>
          <w:color w:val="000000"/>
          <w:sz w:val="22"/>
          <w:szCs w:val="22"/>
        </w:rPr>
        <w:t xml:space="preserve">6. Terraform Provider - Enables IaC workflows; key integration point for DevOps tooling partners.</w:t>
      </w:r>
    </w:p>
    <w:p>
      <w:pPr>
        <w:spacing w:line="300"/>
      </w:pPr>
      <w:r>
        <w:rPr>
          <w:rFonts w:ascii="Calibri" w:cs="Calibri" w:eastAsia="Calibri" w:hAnsi="Calibri"/>
          <w:b/>
          <w:bCs/>
          <w:color w:val="2E8B57"/>
          <w:sz w:val="22"/>
          <w:szCs w:val="22"/>
        </w:rPr>
        <w:t xml:space="preserve">7. [PREMIUM] Advanced Analytics Dashboard - NEW - Deep historical analysis, forecasting; Enterprise-only ($500+/mo).</w:t>
      </w:r>
    </w:p>
    <w:p>
      <w:pPr>
        <w:spacing w:line="300"/>
      </w:pPr>
      <w:r>
        <w:rPr>
          <w:rFonts w:ascii="Calibri" w:cs="Calibri" w:eastAsia="Calibri" w:hAnsi="Calibri"/>
          <w:b/>
          <w:bCs/>
          <w:color w:val="2E8B57"/>
          <w:sz w:val="22"/>
          <w:szCs w:val="22"/>
        </w:rPr>
        <w:t xml:space="preserve">8. [PREMIUM] Custom MCP Gateway - NEW - Dedicated infrastructure, priority queue, SLA guarantees; Enterprise+($2,999+/mo).</w:t>
      </w:r>
    </w:p>
    <w:p>
      <w:pPr>
        <w:pStyle w:val="Heading1"/>
        <w:spacing w:line="400" w:after="200"/>
        <w:outlineLvl w:val="0"/>
      </w:pPr>
      <w:r>
        <w:rPr>
          <w:rFonts w:ascii="Calibri" w:cs="Calibri" w:eastAsia="Calibri" w:hAnsi="Calibri"/>
          <w:b/>
          <w:bCs/>
          <w:color w:val="1B3A5C"/>
          <w:sz w:val="28"/>
          <w:szCs w:val="28"/>
        </w:rPr>
        <w:t xml:space="preserve">7. 90-DAY EXECUTION PLAN</w:t>
      </w:r>
    </w:p>
    <w:p>
      <w:pPr>
        <w:pStyle w:val="Heading2"/>
        <w:spacing w:line="300" w:after="200"/>
        <w:outlineLvl w:val="1"/>
      </w:pPr>
      <w:r>
        <w:rPr>
          <w:rFonts w:ascii="Calibri" w:cs="Calibri" w:eastAsia="Calibri" w:hAnsi="Calibri"/>
          <w:b/>
          <w:bCs/>
          <w:color w:val="2E8B57"/>
          <w:sz w:val="24"/>
          <w:szCs w:val="24"/>
        </w:rPr>
        <w:t xml:space="preserve">Week 1-4: Launch Phase</w:t>
      </w:r>
    </w:p>
    <w:p>
      <w:pPr>
        <w:spacing w:line="300"/>
        <w:jc w:val="left"/>
      </w:pPr>
      <w:r>
        <w:rPr>
          <w:rFonts w:ascii="Calibri" w:cs="Calibri" w:eastAsia="Calibri" w:hAnsi="Calibri"/>
          <w:b w:val="false"/>
          <w:bCs w:val="false"/>
          <w:color w:val="000000"/>
          <w:sz w:val="22"/>
          <w:szCs w:val="22"/>
        </w:rPr>
        <w:t xml:space="preserve">Finalize public GitHub repository with comprehensive documentation</w:t>
      </w:r>
    </w:p>
    <w:p>
      <w:pPr>
        <w:spacing w:line="300"/>
        <w:jc w:val="left"/>
      </w:pPr>
      <w:r>
        <w:rPr>
          <w:rFonts w:ascii="Calibri" w:cs="Calibri" w:eastAsia="Calibri" w:hAnsi="Calibri"/>
          <w:b w:val="false"/>
          <w:bCs w:val="false"/>
          <w:color w:val="000000"/>
          <w:sz w:val="22"/>
          <w:szCs w:val="22"/>
        </w:rPr>
        <w:t xml:space="preserve">Deploy free tier instances on AWS Lambda, Google Cloud Run, Supabase</w:t>
      </w:r>
    </w:p>
    <w:p>
      <w:pPr>
        <w:spacing w:line="300"/>
        <w:jc w:val="left"/>
      </w:pPr>
      <w:r>
        <w:rPr>
          <w:rFonts w:ascii="Calibri" w:cs="Calibri" w:eastAsia="Calibri" w:hAnsi="Calibri"/>
          <w:b w:val="false"/>
          <w:bCs w:val="false"/>
          <w:color w:val="000000"/>
          <w:sz w:val="22"/>
          <w:szCs w:val="22"/>
        </w:rPr>
        <w:t xml:space="preserve">Launch marketing site with case studies from early adopters</w:t>
      </w:r>
    </w:p>
    <w:p>
      <w:pPr>
        <w:spacing w:line="300"/>
        <w:jc w:val="left"/>
      </w:pPr>
      <w:r>
        <w:rPr>
          <w:rFonts w:ascii="Calibri" w:cs="Calibri" w:eastAsia="Calibri" w:hAnsi="Calibri"/>
          <w:b w:val="false"/>
          <w:bCs w:val="false"/>
          <w:color w:val="000000"/>
          <w:sz w:val="22"/>
          <w:szCs w:val="22"/>
        </w:rPr>
        <w:t xml:space="preserve">First consulting project with anchor customer (target: $5K)</w:t>
      </w:r>
    </w:p>
    <w:p>
      <w:pPr>
        <w:spacing w:line="300"/>
        <w:jc w:val="left"/>
      </w:pPr>
      <w:r>
        <w:rPr>
          <w:rFonts w:ascii="Calibri" w:cs="Calibri" w:eastAsia="Calibri" w:hAnsi="Calibri"/>
          <w:b w:val="false"/>
          <w:bCs w:val="false"/>
          <w:color w:val="000000"/>
          <w:sz w:val="22"/>
          <w:szCs w:val="22"/>
        </w:rPr>
        <w:t xml:space="preserve"/>
      </w:r>
    </w:p>
    <w:p>
      <w:pPr>
        <w:pStyle w:val="Heading2"/>
        <w:spacing w:line="300" w:after="200"/>
        <w:outlineLvl w:val="1"/>
      </w:pPr>
      <w:r>
        <w:rPr>
          <w:rFonts w:ascii="Calibri" w:cs="Calibri" w:eastAsia="Calibri" w:hAnsi="Calibri"/>
          <w:b/>
          <w:bCs/>
          <w:color w:val="2E8B57"/>
          <w:sz w:val="24"/>
          <w:szCs w:val="24"/>
        </w:rPr>
        <w:t xml:space="preserve">Week 5-8: First Revenue Phase</w:t>
      </w:r>
    </w:p>
    <w:p>
      <w:pPr>
        <w:spacing w:line="300"/>
        <w:jc w:val="left"/>
      </w:pPr>
      <w:r>
        <w:rPr>
          <w:rFonts w:ascii="Calibri" w:cs="Calibri" w:eastAsia="Calibri" w:hAnsi="Calibri"/>
          <w:b w:val="false"/>
          <w:bCs w:val="false"/>
          <w:color w:val="000000"/>
          <w:sz w:val="22"/>
          <w:szCs w:val="22"/>
        </w:rPr>
        <w:t xml:space="preserve">Sign up first 3-5 subscription customers (Starter tier)</w:t>
      </w:r>
    </w:p>
    <w:p>
      <w:pPr>
        <w:spacing w:line="300"/>
        <w:jc w:val="left"/>
      </w:pPr>
      <w:r>
        <w:rPr>
          <w:rFonts w:ascii="Calibri" w:cs="Calibri" w:eastAsia="Calibri" w:hAnsi="Calibri"/>
          <w:b w:val="false"/>
          <w:bCs w:val="false"/>
          <w:color w:val="000000"/>
          <w:sz w:val="22"/>
          <w:szCs w:val="22"/>
        </w:rPr>
        <w:t xml:space="preserve">Close first partnership discussion (target: $2K-$3K/mo)</w:t>
      </w:r>
    </w:p>
    <w:p>
      <w:pPr>
        <w:spacing w:line="300"/>
        <w:jc w:val="left"/>
      </w:pPr>
      <w:r>
        <w:rPr>
          <w:rFonts w:ascii="Calibri" w:cs="Calibri" w:eastAsia="Calibri" w:hAnsi="Calibri"/>
          <w:b w:val="false"/>
          <w:bCs w:val="false"/>
          <w:color w:val="000000"/>
          <w:sz w:val="22"/>
          <w:szCs w:val="22"/>
        </w:rPr>
        <w:t xml:space="preserve">Complete 2-3 additional consulting engagements</w:t>
      </w:r>
    </w:p>
    <w:p>
      <w:pPr>
        <w:spacing w:line="300"/>
        <w:jc w:val="left"/>
      </w:pPr>
      <w:r>
        <w:rPr>
          <w:rFonts w:ascii="Calibri" w:cs="Calibri" w:eastAsia="Calibri" w:hAnsi="Calibri"/>
          <w:b w:val="false"/>
          <w:bCs w:val="false"/>
          <w:color w:val="000000"/>
          <w:sz w:val="22"/>
          <w:szCs w:val="22"/>
        </w:rPr>
        <w:t xml:space="preserve">Launch social proof campaign: testimonials, GitHub stars (target: 500+)</w:t>
      </w:r>
    </w:p>
    <w:p>
      <w:pPr>
        <w:spacing w:line="300"/>
        <w:jc w:val="left"/>
      </w:pPr>
      <w:r>
        <w:rPr>
          <w:rFonts w:ascii="Calibri" w:cs="Calibri" w:eastAsia="Calibri" w:hAnsi="Calibri"/>
          <w:b w:val="false"/>
          <w:bCs w:val="false"/>
          <w:color w:val="000000"/>
          <w:sz w:val="22"/>
          <w:szCs w:val="22"/>
        </w:rPr>
        <w:t xml:space="preserve"/>
      </w:r>
    </w:p>
    <w:p>
      <w:pPr>
        <w:pStyle w:val="Heading2"/>
        <w:spacing w:line="300" w:after="200"/>
        <w:outlineLvl w:val="1"/>
      </w:pPr>
      <w:r>
        <w:rPr>
          <w:rFonts w:ascii="Calibri" w:cs="Calibri" w:eastAsia="Calibri" w:hAnsi="Calibri"/>
          <w:b/>
          <w:bCs/>
          <w:color w:val="2E8B57"/>
          <w:sz w:val="24"/>
          <w:szCs w:val="24"/>
        </w:rPr>
        <w:t xml:space="preserve">Week 9-12: Scale Phase</w:t>
      </w:r>
    </w:p>
    <w:p>
      <w:pPr>
        <w:spacing w:line="300"/>
        <w:jc w:val="left"/>
      </w:pPr>
      <w:r>
        <w:rPr>
          <w:rFonts w:ascii="Calibri" w:cs="Calibri" w:eastAsia="Calibri" w:hAnsi="Calibri"/>
          <w:b w:val="false"/>
          <w:bCs w:val="false"/>
          <w:color w:val="000000"/>
          <w:sz w:val="22"/>
          <w:szCs w:val="22"/>
        </w:rPr>
        <w:t xml:space="preserve">Grow subscription base to 10-15 customers with mix of Starter and Pro</w:t>
      </w:r>
    </w:p>
    <w:p>
      <w:pPr>
        <w:spacing w:line="300"/>
        <w:jc w:val="left"/>
      </w:pPr>
      <w:r>
        <w:rPr>
          <w:rFonts w:ascii="Calibri" w:cs="Calibri" w:eastAsia="Calibri" w:hAnsi="Calibri"/>
          <w:b w:val="false"/>
          <w:bCs w:val="false"/>
          <w:color w:val="000000"/>
          <w:sz w:val="22"/>
          <w:szCs w:val="22"/>
        </w:rPr>
        <w:t xml:space="preserve">Finalize 2-3 partnership agreements totaling $6K-$12K/mo recurring</w:t>
      </w:r>
    </w:p>
    <w:p>
      <w:pPr>
        <w:spacing w:line="300"/>
        <w:jc w:val="left"/>
      </w:pPr>
      <w:r>
        <w:rPr>
          <w:rFonts w:ascii="Calibri" w:cs="Calibri" w:eastAsia="Calibri" w:hAnsi="Calibri"/>
          <w:b w:val="false"/>
          <w:bCs w:val="false"/>
          <w:color w:val="000000"/>
          <w:sz w:val="22"/>
          <w:szCs w:val="22"/>
        </w:rPr>
        <w:t xml:space="preserve">Achieve 4-6 consulting projects per month pipeline</w:t>
      </w:r>
    </w:p>
    <w:p>
      <w:pPr>
        <w:spacing w:line="300"/>
        <w:jc w:val="left"/>
      </w:pPr>
      <w:r>
        <w:rPr>
          <w:rFonts w:ascii="Calibri" w:cs="Calibri" w:eastAsia="Calibri" w:hAnsi="Calibri"/>
          <w:b w:val="false"/>
          <w:bCs w:val="false"/>
          <w:color w:val="000000"/>
          <w:sz w:val="22"/>
          <w:szCs w:val="22"/>
        </w:rPr>
        <w:t xml:space="preserve">Launch first two premium tools (Advanced Analytics, Custom MCP Gateway)</w:t>
      </w:r>
    </w:p>
    <w:p>
      <w:r>
        <w:br w:type="page"/>
      </w:r>
    </w:p>
    <w:p>
      <w:pPr>
        <w:pStyle w:val="Heading1"/>
        <w:spacing w:line="400" w:after="200"/>
        <w:outlineLvl w:val="0"/>
      </w:pPr>
      <w:r>
        <w:rPr>
          <w:rFonts w:ascii="Calibri" w:cs="Calibri" w:eastAsia="Calibri" w:hAnsi="Calibri"/>
          <w:b/>
          <w:bCs/>
          <w:color w:val="1B3A5C"/>
          <w:sz w:val="28"/>
          <w:szCs w:val="28"/>
        </w:rPr>
        <w:t xml:space="preserve">8. ORIGINAL VS. ZERO-BURN COMPARISON</w:t>
      </w:r>
    </w:p>
    <w:tbl>
      <w:tblPr>
        <w:tblW w:type="dxa" w:w="9360"/>
        <w:tblBorders>
          <w:top w:val="single" w:color="1B3A5C" w:sz="6"/>
          <w:left w:val="single" w:color="1B3A5C" w:sz="6"/>
          <w:bottom w:val="single" w:color="1B3A5C" w:sz="6"/>
          <w:right w:val="single" w:color="1B3A5C" w:sz="6"/>
          <w:insideH w:val="single" w:color="999999" w:sz="1"/>
          <w:insideV w:val="single" w:color="999999" w:sz="1"/>
        </w:tblBorders>
      </w:tblPr>
      <w:tblGrid>
        <w:gridCol w:w="100"/>
        <w:gridCol w:w="100"/>
        <w:gridCol w:w="100"/>
      </w:tblGrid>
      <w:tr>
        <w:tc>
          <w:tcPr>
            <w:tcW w:type="dxa" w:w="200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Metric</w:t>
            </w:r>
          </w:p>
        </w:tc>
        <w:tc>
          <w:tcPr>
            <w:tcW w:type="dxa" w:w="368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Traditional SaaS</w:t>
            </w:r>
          </w:p>
        </w:tc>
        <w:tc>
          <w:tcPr>
            <w:tcW w:type="dxa" w:w="3680"/>
            <w:shd w:fill="1B3A5C"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Zero-Burn Model</w:t>
            </w:r>
          </w:p>
        </w:tc>
      </w:tr>
      <w:tr>
        <w:tc>
          <w:tcPr>
            <w:tcW w:type="dxa" w:w="2000"/>
            <w:shd w:fill="FFFFFF"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Startup Capital Required</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$100K-$500K</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r>
      <w:tr>
        <w:tc>
          <w:tcPr>
            <w:tcW w:type="dxa" w:w="2000"/>
            <w:shd w:fill="F5F5F5"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Monthly Burn Rate (Year 1)</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$15K-$30K</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w:t>
            </w:r>
          </w:p>
        </w:tc>
      </w:tr>
      <w:tr>
        <w:tc>
          <w:tcPr>
            <w:tcW w:type="dxa" w:w="2000"/>
            <w:shd w:fill="FFFFFF"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Path to Profitability</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24-36 months</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 month</w:t>
            </w:r>
          </w:p>
        </w:tc>
      </w:tr>
      <w:tr>
        <w:tc>
          <w:tcPr>
            <w:tcW w:type="dxa" w:w="2000"/>
            <w:shd w:fill="F5F5F5"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Profit Margin Target</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40-60%</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96.8%</w:t>
            </w:r>
          </w:p>
        </w:tc>
      </w:tr>
      <w:tr>
        <w:tc>
          <w:tcPr>
            <w:tcW w:type="dxa" w:w="2000"/>
            <w:shd w:fill="FFFFFF"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Initial Team Size</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5-10 people</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2 people</w:t>
            </w:r>
          </w:p>
        </w:tc>
      </w:tr>
      <w:tr>
        <w:tc>
          <w:tcPr>
            <w:tcW w:type="dxa" w:w="2000"/>
            <w:shd w:fill="F5F5F5"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Customer Acquisition Cost</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$500-$2,000</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$0 (organic)</w:t>
            </w:r>
          </w:p>
        </w:tc>
      </w:tr>
      <w:tr>
        <w:tc>
          <w:tcPr>
            <w:tcW w:type="dxa" w:w="2000"/>
            <w:shd w:fill="FFFFFF"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Time to First Revenue</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6-12 months</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 week</w:t>
            </w:r>
          </w:p>
        </w:tc>
      </w:tr>
      <w:tr>
        <w:tc>
          <w:tcPr>
            <w:tcW w:type="dxa" w:w="2000"/>
            <w:shd w:fill="F5F5F5"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Series A Dependency</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Critical</w:t>
            </w:r>
          </w:p>
        </w:tc>
        <w:tc>
          <w:tcPr>
            <w:tcW w:type="dxa" w:w="3680"/>
            <w:shd w:fill="F5F5F5"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Not needed</w:t>
            </w:r>
          </w:p>
        </w:tc>
      </w:tr>
      <w:tr>
        <w:tc>
          <w:tcPr>
            <w:tcW w:type="dxa" w:w="2000"/>
            <w:shd w:fill="FFFFFF" w:val="clear"/>
            <w:tcMar>
              <w:top w:type="dxa" w:w="100"/>
              <w:left w:type="dxa" w:w="100"/>
              <w:bottom w:type="dxa" w:w="100"/>
              <w:right w:type="dxa" w:w="100"/>
            </w:tcMar>
          </w:tcPr>
          <w:p>
            <w:pPr>
              <w:jc w:val="left"/>
            </w:pPr>
            <w:r>
              <w:rPr>
                <w:rFonts w:ascii="Calibri" w:cs="Calibri" w:eastAsia="Calibri" w:hAnsi="Calibri"/>
                <w:b/>
                <w:bCs/>
                <w:color w:val="FFFFFF"/>
                <w:sz w:val="20"/>
                <w:szCs w:val="20"/>
              </w:rPr>
              <w:t xml:space="preserve">Year 1 Cumulative Profit</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-$180K to -$360K</w:t>
            </w:r>
          </w:p>
        </w:tc>
        <w:tc>
          <w:tcPr>
            <w:tcW w:type="dxa" w:w="3680"/>
            <w:shd w:fill="FFFFFF" w:val="clear"/>
            <w:tcMar>
              <w:top w:type="dxa" w:w="100"/>
              <w:left w:type="dxa" w:w="100"/>
              <w:bottom w:type="dxa" w:w="100"/>
              <w:right w:type="dxa" w:w="100"/>
            </w:tcMar>
          </w:tcPr>
          <w:p>
            <w:pPr>
              <w:jc w:val="center"/>
            </w:pPr>
            <w:r>
              <w:rPr>
                <w:rFonts w:ascii="Calibri" w:cs="Calibri" w:eastAsia="Calibri" w:hAnsi="Calibri"/>
                <w:b w:val="false"/>
                <w:bCs w:val="false"/>
                <w:color w:val="000000"/>
                <w:sz w:val="20"/>
                <w:szCs w:val="20"/>
              </w:rPr>
              <w:t xml:space="preserve">+$411K</w:t>
            </w:r>
          </w:p>
        </w:tc>
      </w:tr>
    </w:tbl>
    <w:p>
      <w:r>
        <w:br w:type="page"/>
      </w:r>
    </w:p>
    <w:p>
      <w:pPr>
        <w:pStyle w:val="Heading1"/>
        <w:spacing w:line="400" w:after="200"/>
        <w:outlineLvl w:val="0"/>
      </w:pPr>
      <w:r>
        <w:rPr>
          <w:rFonts w:ascii="Calibri" w:cs="Calibri" w:eastAsia="Calibri" w:hAnsi="Calibri"/>
          <w:b/>
          <w:bCs/>
          <w:color w:val="1B3A5C"/>
          <w:sz w:val="28"/>
          <w:szCs w:val="28"/>
        </w:rPr>
        <w:t xml:space="preserve">9. COMPETITIVE MOAT</w:t>
      </w:r>
    </w:p>
    <w:p>
      <w:pPr>
        <w:pStyle w:val="Heading2"/>
        <w:spacing w:line="300" w:after="200"/>
        <w:outlineLvl w:val="1"/>
      </w:pPr>
      <w:r>
        <w:rPr>
          <w:rFonts w:ascii="Calibri" w:cs="Calibri" w:eastAsia="Calibri" w:hAnsi="Calibri"/>
          <w:b/>
          <w:bCs/>
          <w:color w:val="2E8B57"/>
          <w:sz w:val="24"/>
          <w:szCs w:val="24"/>
        </w:rPr>
        <w:t xml:space="preserve">Zero Competitors in MCP Datacenter Space</w:t>
      </w:r>
    </w:p>
    <w:p>
      <w:pPr>
        <w:spacing w:line="300"/>
        <w:jc w:val="left"/>
      </w:pPr>
      <w:r>
        <w:rPr>
          <w:rFonts w:ascii="Calibri" w:cs="Calibri" w:eastAsia="Calibri" w:hAnsi="Calibri"/>
          <w:b w:val="false"/>
          <w:bCs w:val="false"/>
          <w:color w:val="000000"/>
          <w:sz w:val="22"/>
          <w:szCs w:val="22"/>
        </w:rPr>
        <w:t xml:space="preserve">The MCP protocol for datacenter automation is nascent. No established competitors exist. First-mover advantage captures ecosystem mind-share and partnership opportunities.</w:t>
      </w:r>
    </w:p>
    <w:p>
      <w:pPr>
        <w:spacing w:line="300"/>
        <w:jc w:val="left"/>
      </w:pPr>
      <w:r>
        <w:rPr>
          <w:rFonts w:ascii="Calibri" w:cs="Calibri" w:eastAsia="Calibri" w:hAnsi="Calibri"/>
          <w:b w:val="false"/>
          <w:bCs w:val="false"/>
          <w:color w:val="000000"/>
          <w:sz w:val="22"/>
          <w:szCs w:val="22"/>
        </w:rPr>
        <w:t xml:space="preserve"/>
      </w:r>
    </w:p>
    <w:p>
      <w:pPr>
        <w:pStyle w:val="Heading2"/>
        <w:spacing w:line="300" w:after="200"/>
        <w:outlineLvl w:val="1"/>
      </w:pPr>
      <w:r>
        <w:rPr>
          <w:rFonts w:ascii="Calibri" w:cs="Calibri" w:eastAsia="Calibri" w:hAnsi="Calibri"/>
          <w:b/>
          <w:bCs/>
          <w:color w:val="2E8B57"/>
          <w:sz w:val="24"/>
          <w:szCs w:val="24"/>
        </w:rPr>
        <w:t xml:space="preserve">Domain Expertise Barrier</w:t>
      </w:r>
    </w:p>
    <w:p>
      <w:pPr>
        <w:spacing w:line="300"/>
        <w:jc w:val="left"/>
      </w:pPr>
      <w:r>
        <w:rPr>
          <w:rFonts w:ascii="Calibri" w:cs="Calibri" w:eastAsia="Calibri" w:hAnsi="Calibri"/>
          <w:b w:val="false"/>
          <w:bCs w:val="false"/>
          <w:color w:val="000000"/>
          <w:sz w:val="22"/>
          <w:szCs w:val="22"/>
        </w:rPr>
        <w:t xml:space="preserve">The founding team brings 25+ years of combined datacenter management, compliance, and infrastructure optimization experience. This domain expertise is reflected in architectural decisions, product roadmap prioritization, and customer relationships. Reproducing this expertise requires significant time and hiring investment.</w:t>
      </w:r>
    </w:p>
    <w:p>
      <w:pPr>
        <w:spacing w:line="300"/>
        <w:jc w:val="left"/>
      </w:pPr>
      <w:r>
        <w:rPr>
          <w:rFonts w:ascii="Calibri" w:cs="Calibri" w:eastAsia="Calibri" w:hAnsi="Calibri"/>
          <w:b w:val="false"/>
          <w:bCs w:val="false"/>
          <w:color w:val="000000"/>
          <w:sz w:val="22"/>
          <w:szCs w:val="22"/>
        </w:rPr>
        <w:t xml:space="preserve"/>
      </w:r>
    </w:p>
    <w:p>
      <w:pPr>
        <w:pStyle w:val="Heading2"/>
        <w:spacing w:line="300" w:after="200"/>
        <w:outlineLvl w:val="1"/>
      </w:pPr>
      <w:r>
        <w:rPr>
          <w:rFonts w:ascii="Calibri" w:cs="Calibri" w:eastAsia="Calibri" w:hAnsi="Calibri"/>
          <w:b/>
          <w:bCs/>
          <w:color w:val="2E8B57"/>
          <w:sz w:val="24"/>
          <w:szCs w:val="24"/>
        </w:rPr>
        <w:t xml:space="preserve">Network Effects &amp; Ecosystem Lock-In</w:t>
      </w:r>
    </w:p>
    <w:p>
      <w:pPr>
        <w:spacing w:line="300"/>
        <w:jc w:val="left"/>
      </w:pPr>
      <w:r>
        <w:rPr>
          <w:rFonts w:ascii="Calibri" w:cs="Calibri" w:eastAsia="Calibri" w:hAnsi="Calibri"/>
          <w:b w:val="false"/>
          <w:bCs w:val="false"/>
          <w:color w:val="000000"/>
          <w:sz w:val="22"/>
          <w:szCs w:val="22"/>
        </w:rPr>
        <w:t xml:space="preserve">As more partners integrate datacenter-mcp-server into their platforms, the network effect strengthens. Early adopters gain leverage; late entrants face a fragmented ecosystem.</w:t>
      </w:r>
    </w:p>
    <w:p>
      <w:pPr>
        <w:spacing w:line="300"/>
        <w:jc w:val="left"/>
      </w:pPr>
      <w:r>
        <w:rPr>
          <w:rFonts w:ascii="Calibri" w:cs="Calibri" w:eastAsia="Calibri" w:hAnsi="Calibri"/>
          <w:b w:val="false"/>
          <w:bCs w:val="false"/>
          <w:color w:val="000000"/>
          <w:sz w:val="22"/>
          <w:szCs w:val="22"/>
        </w:rPr>
        <w:t xml:space="preserve"/>
      </w:r>
    </w:p>
    <w:p>
      <w:pPr>
        <w:spacing w:line="300"/>
        <w:jc w:val="left"/>
      </w:pPr>
      <w:r>
        <w:rPr>
          <w:rFonts w:ascii="Calibri" w:cs="Calibri" w:eastAsia="Calibri" w:hAnsi="Calibri"/>
          <w:b w:val="false"/>
          <w:bCs w:val="false"/>
          <w:color w:val="000000"/>
          <w:sz w:val="22"/>
          <w:szCs w:val="22"/>
        </w:rPr>
        <w:t xml:space="preserve">This multi-layered moat ensures sustainable growth and justifies long-term premium positioning.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2026-02-25T05:45:52.957Z</dcterms:created>
  <dcterms:modified xsi:type="dcterms:W3CDTF">2026-02-25T05:45:52.958Z</dcterms:modified>
</cp:coreProperties>
</file>

<file path=docProps/custom.xml><?xml version="1.0" encoding="utf-8"?>
<Properties xmlns="http://schemas.openxmlformats.org/officeDocument/2006/custom-properties" xmlns:vt="http://schemas.openxmlformats.org/officeDocument/2006/docPropsVTypes"/>
</file>