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27009" w14:textId="77777777" w:rsidR="00EB65DC" w:rsidRDefault="00EB65DC">
      <w:r w:rsidRPr="00EB65DC">
        <w:t>Empirical Specification</w:t>
      </w:r>
      <w:r>
        <w:t>: fuzzy RKD</w:t>
      </w:r>
      <w:r w:rsidRPr="00EB65DC">
        <w:t xml:space="preserve"> us</w:t>
      </w:r>
      <w:r>
        <w:t>ing</w:t>
      </w:r>
      <w:r w:rsidRPr="00EB65DC">
        <w:t xml:space="preserve"> </w:t>
      </w:r>
      <w:r>
        <w:t>2SLS</w:t>
      </w:r>
      <w:r w:rsidRPr="00EB65DC">
        <w:t xml:space="preserve"> (IV) strategy (Card, Lee, Pei, and Weber, 2012). </w:t>
      </w:r>
      <w:r>
        <w:t>First stage:</w:t>
      </w:r>
      <w:r w:rsidRPr="00EB65DC">
        <w:t xml:space="preserve"> estimate the change in slope of the policy variable—the tax refund—at the kink point at which previous years’ profits equal policy year losses. The variable that estimates this change in slope is an excluded instrument in the IV strategy</w:t>
      </w:r>
      <w:r>
        <w:t>. Second</w:t>
      </w:r>
      <w:r w:rsidRPr="00EB65DC">
        <w:t xml:space="preserve"> stage</w:t>
      </w:r>
      <w:r>
        <w:t>:</w:t>
      </w:r>
      <w:r w:rsidRPr="00EB65DC">
        <w:t xml:space="preserve"> use the fitted values of the tax refund to estimate the effect of the tax refund on firm outcomes.</w:t>
      </w:r>
    </w:p>
    <w:p w14:paraId="1782FB33" w14:textId="69B16C9E" w:rsidR="004859BF" w:rsidRDefault="00EB65DC">
      <w:r w:rsidRPr="00EB65DC">
        <w:t>First-Stage Regression</w:t>
      </w:r>
      <w:r>
        <w:t>:</w:t>
      </w:r>
    </w:p>
    <w:p w14:paraId="4F48ACB1" w14:textId="3F71DB26" w:rsidR="00EB65DC" w:rsidRDefault="00EB65DC">
      <w:proofErr w:type="spellStart"/>
      <w:r w:rsidRPr="00EB65DC">
        <w:t>TaxRefund</w:t>
      </w:r>
      <w:proofErr w:type="spellEnd"/>
      <w:r w:rsidRPr="00EB65DC">
        <w:t>_{</w:t>
      </w:r>
      <w:proofErr w:type="spellStart"/>
      <w:r w:rsidRPr="00EB65DC">
        <w:t>i,t</w:t>
      </w:r>
      <w:proofErr w:type="spellEnd"/>
      <w:r w:rsidRPr="00EB65DC">
        <w:t>} = \delta_0 + \sum_{p=1}^P [ \</w:t>
      </w:r>
      <w:proofErr w:type="spellStart"/>
      <w:r w:rsidRPr="00EB65DC">
        <w:t>delta_p</w:t>
      </w:r>
      <w:proofErr w:type="spellEnd"/>
      <w:r w:rsidRPr="00EB65DC">
        <w:t xml:space="preserve"> (V_{i,t-1} - V^*)^p + \</w:t>
      </w:r>
      <w:proofErr w:type="spellStart"/>
      <w:r w:rsidRPr="00EB65DC">
        <w:t>gamma_p</w:t>
      </w:r>
      <w:proofErr w:type="spellEnd"/>
      <w:r w:rsidRPr="00EB65DC">
        <w:t xml:space="preserve"> D (V_{i,t-1} - V^*)^p] + \theta Controls_{</w:t>
      </w:r>
      <w:proofErr w:type="spellStart"/>
      <w:r w:rsidRPr="00EB65DC">
        <w:t>i,t</w:t>
      </w:r>
      <w:proofErr w:type="spellEnd"/>
      <w:r w:rsidRPr="00EB65DC">
        <w:t>} + \</w:t>
      </w:r>
      <w:proofErr w:type="spellStart"/>
      <w:r w:rsidRPr="00EB65DC">
        <w:t>omega_n</w:t>
      </w:r>
      <w:proofErr w:type="spellEnd"/>
      <w:r w:rsidRPr="00EB65DC">
        <w:t xml:space="preserve"> + \epsilon_{</w:t>
      </w:r>
      <w:proofErr w:type="spellStart"/>
      <w:r w:rsidRPr="00EB65DC">
        <w:t>i,t</w:t>
      </w:r>
      <w:proofErr w:type="spellEnd"/>
      <w:r w:rsidRPr="00EB65DC">
        <w:t>}</w:t>
      </w:r>
    </w:p>
    <w:p w14:paraId="00ABFEE1" w14:textId="77777777" w:rsidR="00EB65DC" w:rsidRDefault="00EB65DC">
      <w:proofErr w:type="gramStart"/>
      <w:r w:rsidRPr="00EB65DC">
        <w:t xml:space="preserve">where </w:t>
      </w:r>
      <w:proofErr w:type="spellStart"/>
      <w:r w:rsidRPr="00EB65DC">
        <w:t>i</w:t>
      </w:r>
      <w:proofErr w:type="spellEnd"/>
      <w:proofErr w:type="gramEnd"/>
      <w:r w:rsidRPr="00EB65DC">
        <w:t xml:space="preserve"> </w:t>
      </w:r>
      <w:proofErr w:type="gramStart"/>
      <w:r w:rsidRPr="00EB65DC">
        <w:t>is</w:t>
      </w:r>
      <w:proofErr w:type="gramEnd"/>
      <w:r w:rsidRPr="00EB65DC">
        <w:t xml:space="preserve"> firm, </w:t>
      </w:r>
      <w:proofErr w:type="gramStart"/>
      <w:r w:rsidRPr="00EB65DC">
        <w:t>t is</w:t>
      </w:r>
      <w:proofErr w:type="gramEnd"/>
      <w:r w:rsidRPr="00EB65DC">
        <w:t xml:space="preserve"> year, and n is industry.</w:t>
      </w:r>
    </w:p>
    <w:p w14:paraId="0461E901" w14:textId="77777777" w:rsidR="00EB65DC" w:rsidRDefault="00EB65DC">
      <w:r w:rsidRPr="00EB65DC">
        <w:t>V is the assignment variable (previous years’ profits minus policy-year losses) and V* is zero.</w:t>
      </w:r>
    </w:p>
    <w:p w14:paraId="0049E6C6" w14:textId="77777777" w:rsidR="00EB65DC" w:rsidRDefault="00EB65DC">
      <w:r w:rsidRPr="00EB65DC">
        <w:t>I use the level of V (in millions of dollars) in the regression as opposed to scaling V by assets or another measure because the policy kink occurs in the level of the tax refund and V.</w:t>
      </w:r>
    </w:p>
    <w:p w14:paraId="588BCE8B" w14:textId="77777777" w:rsidR="00A91174" w:rsidRDefault="00EB65DC">
      <w:r w:rsidRPr="00EB65DC">
        <w:t xml:space="preserve">In the context of Figure 1, the function relating V and the tax refund is linear in the level of V to the left of the kink point. This function is not linear in V as a share of assets or in a re-centered logarithm of V. The instruments for </w:t>
      </w:r>
      <w:proofErr w:type="spellStart"/>
      <w:r w:rsidRPr="00EB65DC">
        <w:t>TaxRefund</w:t>
      </w:r>
      <w:proofErr w:type="spellEnd"/>
      <w:r w:rsidRPr="00EB65DC">
        <w:t xml:space="preserve"> are a dummy variable that equals one if previous years’ profits were less than policy losses (D) interacted with a polynomial in V. In the context of Figure 1 above, D is a dummy variable that equals one if a firm is to the left of the kink point. The coefficient in this specification recovers the change in the slope of the tax refund value with respect to V around the kink point (the denominator from the </w:t>
      </w:r>
      <w:proofErr w:type="spellStart"/>
      <w:r w:rsidRPr="00EB65DC">
        <w:t>estimand</w:t>
      </w:r>
      <w:proofErr w:type="spellEnd"/>
      <w:r w:rsidRPr="00EB65DC">
        <w:t xml:space="preserve"> in expression A). My preferred polynomial order is P = 2, in line with other RKD studies</w:t>
      </w:r>
      <w:r w:rsidR="00A91174">
        <w:t>.</w:t>
      </w:r>
    </w:p>
    <w:p w14:paraId="495D06FD" w14:textId="2657F752" w:rsidR="00EB65DC" w:rsidRDefault="00EB65DC">
      <w:r w:rsidRPr="00EB65DC">
        <w:t>I include the following controls in the regression: pretreatment values of Tobin’s q, return on assets, cash flow/assets, sales/assets, leverage, the log of assets, and a quadratic in the value of losses that can be applied to the policy. I include Fama-French 48 industry fixed effects and cluster the standard errors at the Fama French 48 industry leve</w:t>
      </w:r>
      <w:r w:rsidR="00A91174">
        <w:t>l</w:t>
      </w:r>
      <w:r w:rsidRPr="00EB65DC">
        <w:t>.</w:t>
      </w:r>
    </w:p>
    <w:p w14:paraId="4851956B" w14:textId="77777777" w:rsidR="00EB65DC" w:rsidRDefault="00EB65DC"/>
    <w:p w14:paraId="38839168" w14:textId="4484ECA9" w:rsidR="00EB65DC" w:rsidRPr="00EB65DC" w:rsidRDefault="00EB65DC" w:rsidP="00EB65DC">
      <w:r w:rsidRPr="00EB65DC">
        <w:t>Second-Stage Regression</w:t>
      </w:r>
      <w:r w:rsidR="00A91174">
        <w:t>:</w:t>
      </w:r>
    </w:p>
    <w:p w14:paraId="785EA4D7" w14:textId="52C5675D" w:rsidR="00EB65DC" w:rsidRDefault="00EB65DC" w:rsidP="00EB65DC">
      <w:proofErr w:type="spellStart"/>
      <w:r w:rsidRPr="00EB65DC">
        <w:t>FirmOutcome</w:t>
      </w:r>
      <w:proofErr w:type="spellEnd"/>
      <w:r w:rsidRPr="00EB65DC">
        <w:t>_{</w:t>
      </w:r>
      <w:proofErr w:type="spellStart"/>
      <w:proofErr w:type="gramStart"/>
      <w:r w:rsidRPr="00EB65DC">
        <w:t>i,t</w:t>
      </w:r>
      <w:proofErr w:type="spellEnd"/>
      <w:proofErr w:type="gramEnd"/>
      <w:r w:rsidRPr="00EB65DC">
        <w:t>} = \alpha_0 + \Beta_1 \</w:t>
      </w:r>
      <w:proofErr w:type="gramStart"/>
      <w:r w:rsidRPr="00EB65DC">
        <w:t>hat{</w:t>
      </w:r>
      <w:proofErr w:type="spellStart"/>
      <w:proofErr w:type="gramEnd"/>
      <w:r w:rsidRPr="00EB65DC">
        <w:t>TaxRefund</w:t>
      </w:r>
      <w:proofErr w:type="spellEnd"/>
      <w:r w:rsidRPr="00EB65DC">
        <w:t>}_{</w:t>
      </w:r>
      <w:proofErr w:type="spellStart"/>
      <w:proofErr w:type="gramStart"/>
      <w:r w:rsidRPr="00EB65DC">
        <w:t>i,t</w:t>
      </w:r>
      <w:proofErr w:type="spellEnd"/>
      <w:proofErr w:type="gramEnd"/>
      <w:r w:rsidRPr="00EB65DC">
        <w:t>} + \sum_{p=</w:t>
      </w:r>
      <w:proofErr w:type="gramStart"/>
      <w:r w:rsidRPr="00EB65DC">
        <w:t>1}^</w:t>
      </w:r>
      <w:proofErr w:type="gramEnd"/>
      <w:r w:rsidRPr="00EB65DC">
        <w:t>P [\</w:t>
      </w:r>
      <w:proofErr w:type="spellStart"/>
      <w:r w:rsidRPr="00EB65DC">
        <w:t>alpha_p</w:t>
      </w:r>
      <w:proofErr w:type="spellEnd"/>
      <w:r w:rsidRPr="00EB65DC">
        <w:t xml:space="preserve"> (V_{</w:t>
      </w:r>
      <w:proofErr w:type="gramStart"/>
      <w:r w:rsidRPr="00EB65DC">
        <w:t>i,t</w:t>
      </w:r>
      <w:proofErr w:type="gramEnd"/>
      <w:r w:rsidRPr="00EB65DC">
        <w:t>-1}-V^</w:t>
      </w:r>
      <w:proofErr w:type="gramStart"/>
      <w:r w:rsidRPr="00EB65DC">
        <w:t>*)^</w:t>
      </w:r>
      <w:proofErr w:type="gramEnd"/>
      <w:r w:rsidRPr="00EB65DC">
        <w:t>p] + \theta Controls_{</w:t>
      </w:r>
      <w:proofErr w:type="spellStart"/>
      <w:proofErr w:type="gramStart"/>
      <w:r w:rsidRPr="00EB65DC">
        <w:t>i,t</w:t>
      </w:r>
      <w:proofErr w:type="spellEnd"/>
      <w:proofErr w:type="gramEnd"/>
      <w:r w:rsidRPr="00EB65DC">
        <w:t>} + \</w:t>
      </w:r>
      <w:proofErr w:type="spellStart"/>
      <w:r w:rsidRPr="00EB65DC">
        <w:t>omega_n</w:t>
      </w:r>
      <w:proofErr w:type="spellEnd"/>
      <w:r w:rsidRPr="00EB65DC">
        <w:t xml:space="preserve"> + \epsilon_{</w:t>
      </w:r>
      <w:proofErr w:type="spellStart"/>
      <w:proofErr w:type="gramStart"/>
      <w:r w:rsidRPr="00EB65DC">
        <w:t>i,t</w:t>
      </w:r>
      <w:proofErr w:type="spellEnd"/>
      <w:proofErr w:type="gramEnd"/>
      <w:r w:rsidRPr="00EB65DC">
        <w:t>}</w:t>
      </w:r>
    </w:p>
    <w:p w14:paraId="67730436" w14:textId="77777777" w:rsidR="00A91174" w:rsidRDefault="00A91174" w:rsidP="00EB65DC">
      <w:r>
        <w:t>O</w:t>
      </w:r>
      <w:r w:rsidR="00EB65DC" w:rsidRPr="00EB65DC">
        <w:t>utcome variables of interest: potential uses of the tax refunds (investment, payout, the change in cash</w:t>
      </w:r>
      <w:r>
        <w:t xml:space="preserve">, change in debt, other [change in investments, short term investments, </w:t>
      </w:r>
      <w:r>
        <w:lastRenderedPageBreak/>
        <w:t>acquisitions</w:t>
      </w:r>
      <w:r w:rsidR="00EB65DC" w:rsidRPr="00EB65DC">
        <w:t>)</w:t>
      </w:r>
      <w:r>
        <w:t>; change in employment</w:t>
      </w:r>
      <w:r w:rsidR="00EB65DC" w:rsidRPr="00EB65DC">
        <w:t>. For analyzing the potential uses of funds variables, I use the level of spending, in millions of dollars.</w:t>
      </w:r>
    </w:p>
    <w:p w14:paraId="6A64909E" w14:textId="2EDE72DD" w:rsidR="00EB65DC" w:rsidRDefault="00EB65DC" w:rsidP="00EB65DC">
      <w:r w:rsidRPr="00EB65DC">
        <w:t>I study the effects of the 2002 policy and the 2009 policy separately. The time dimension of the above regressions varies depending on the policy period. For the 2002 policy, firms received refunds in 2002 and in 2003 for losses incurred in 2001 and 2002, respectively. I regress firm outcomes in 2002 and 2003 as a function of the tax refunds received in those years and the assignment variable V in the previous year. This is a two-year panel regression.</w:t>
      </w:r>
    </w:p>
    <w:sectPr w:rsidR="00EB65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9BF"/>
    <w:rsid w:val="004859BF"/>
    <w:rsid w:val="00926B48"/>
    <w:rsid w:val="00A91174"/>
    <w:rsid w:val="00EB6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80572"/>
  <w15:chartTrackingRefBased/>
  <w15:docId w15:val="{C36AB201-75F3-42A7-AF1B-CDC48F075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5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59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9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9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9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59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59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59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9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9BF"/>
    <w:rPr>
      <w:rFonts w:eastAsiaTheme="majorEastAsia" w:cstheme="majorBidi"/>
      <w:color w:val="272727" w:themeColor="text1" w:themeTint="D8"/>
    </w:rPr>
  </w:style>
  <w:style w:type="paragraph" w:styleId="Title">
    <w:name w:val="Title"/>
    <w:basedOn w:val="Normal"/>
    <w:next w:val="Normal"/>
    <w:link w:val="TitleChar"/>
    <w:uiPriority w:val="10"/>
    <w:qFormat/>
    <w:rsid w:val="00485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9BF"/>
    <w:pPr>
      <w:spacing w:before="160"/>
      <w:jc w:val="center"/>
    </w:pPr>
    <w:rPr>
      <w:i/>
      <w:iCs/>
      <w:color w:val="404040" w:themeColor="text1" w:themeTint="BF"/>
    </w:rPr>
  </w:style>
  <w:style w:type="character" w:customStyle="1" w:styleId="QuoteChar">
    <w:name w:val="Quote Char"/>
    <w:basedOn w:val="DefaultParagraphFont"/>
    <w:link w:val="Quote"/>
    <w:uiPriority w:val="29"/>
    <w:rsid w:val="004859BF"/>
    <w:rPr>
      <w:i/>
      <w:iCs/>
      <w:color w:val="404040" w:themeColor="text1" w:themeTint="BF"/>
    </w:rPr>
  </w:style>
  <w:style w:type="paragraph" w:styleId="ListParagraph">
    <w:name w:val="List Paragraph"/>
    <w:basedOn w:val="Normal"/>
    <w:uiPriority w:val="34"/>
    <w:qFormat/>
    <w:rsid w:val="004859BF"/>
    <w:pPr>
      <w:ind w:left="720"/>
      <w:contextualSpacing/>
    </w:pPr>
  </w:style>
  <w:style w:type="character" w:styleId="IntenseEmphasis">
    <w:name w:val="Intense Emphasis"/>
    <w:basedOn w:val="DefaultParagraphFont"/>
    <w:uiPriority w:val="21"/>
    <w:qFormat/>
    <w:rsid w:val="004859BF"/>
    <w:rPr>
      <w:i/>
      <w:iCs/>
      <w:color w:val="0F4761" w:themeColor="accent1" w:themeShade="BF"/>
    </w:rPr>
  </w:style>
  <w:style w:type="paragraph" w:styleId="IntenseQuote">
    <w:name w:val="Intense Quote"/>
    <w:basedOn w:val="Normal"/>
    <w:next w:val="Normal"/>
    <w:link w:val="IntenseQuoteChar"/>
    <w:uiPriority w:val="30"/>
    <w:qFormat/>
    <w:rsid w:val="00485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9BF"/>
    <w:rPr>
      <w:i/>
      <w:iCs/>
      <w:color w:val="0F4761" w:themeColor="accent1" w:themeShade="BF"/>
    </w:rPr>
  </w:style>
  <w:style w:type="character" w:styleId="IntenseReference">
    <w:name w:val="Intense Reference"/>
    <w:basedOn w:val="DefaultParagraphFont"/>
    <w:uiPriority w:val="32"/>
    <w:qFormat/>
    <w:rsid w:val="004859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454</Words>
  <Characters>2592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Casey</dc:creator>
  <cp:keywords/>
  <dc:description/>
  <cp:lastModifiedBy>Logan Casey</cp:lastModifiedBy>
  <cp:revision>2</cp:revision>
  <dcterms:created xsi:type="dcterms:W3CDTF">2026-03-03T01:22:00Z</dcterms:created>
  <dcterms:modified xsi:type="dcterms:W3CDTF">2026-03-03T01:38:00Z</dcterms:modified>
</cp:coreProperties>
</file>