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339"/>
        <w:tblW w:w="0" w:type="auto"/>
        <w:tblLook w:val="04A0" w:firstRow="1" w:lastRow="0" w:firstColumn="1" w:lastColumn="0" w:noHBand="0" w:noVBand="1"/>
      </w:tblPr>
      <w:tblGrid>
        <w:gridCol w:w="2316"/>
        <w:gridCol w:w="1549"/>
        <w:gridCol w:w="1710"/>
      </w:tblGrid>
      <w:tr w:rsidR="00B8702E" w14:paraId="264D3470" w14:textId="77777777" w:rsidTr="00B16724">
        <w:trPr>
          <w:trHeight w:val="469"/>
        </w:trPr>
        <w:tc>
          <w:tcPr>
            <w:tcW w:w="5575" w:type="dxa"/>
            <w:gridSpan w:val="3"/>
          </w:tcPr>
          <w:p w14:paraId="1DE7BFEA" w14:textId="77777777" w:rsidR="00B8702E" w:rsidRPr="00196A61" w:rsidRDefault="00B8702E" w:rsidP="00B16724">
            <w:pPr>
              <w:jc w:val="center"/>
              <w:rPr>
                <w:rFonts w:ascii="Georgia" w:hAnsi="Georgia"/>
                <w:b/>
                <w:bCs/>
                <w:sz w:val="36"/>
                <w:szCs w:val="36"/>
                <w:lang w:val="af-ZA"/>
              </w:rPr>
            </w:pPr>
            <w:r w:rsidRPr="00196A61">
              <w:rPr>
                <w:b/>
                <w:bCs/>
                <w:sz w:val="36"/>
                <w:szCs w:val="36"/>
                <w:lang w:val="af-ZA"/>
              </w:rPr>
              <w:t>Timing Results</w:t>
            </w:r>
          </w:p>
          <w:p w14:paraId="5EBA25E9" w14:textId="77777777" w:rsidR="00B8702E" w:rsidRDefault="00B8702E" w:rsidP="00B16724"/>
        </w:tc>
      </w:tr>
      <w:tr w:rsidR="00B8702E" w14:paraId="2698F5A4" w14:textId="77777777" w:rsidTr="00B16724">
        <w:trPr>
          <w:trHeight w:val="469"/>
        </w:trPr>
        <w:tc>
          <w:tcPr>
            <w:tcW w:w="2316" w:type="dxa"/>
          </w:tcPr>
          <w:p w14:paraId="7AE16987" w14:textId="77777777" w:rsidR="00B8702E" w:rsidRPr="00047D35" w:rsidRDefault="00B8702E" w:rsidP="00B16724">
            <w:pPr>
              <w:rPr>
                <w:u w:val="single"/>
              </w:rPr>
            </w:pPr>
            <w:r w:rsidRPr="00047D35">
              <w:rPr>
                <w:u w:val="single"/>
              </w:rPr>
              <w:t>Array Size:</w:t>
            </w:r>
          </w:p>
        </w:tc>
        <w:tc>
          <w:tcPr>
            <w:tcW w:w="1549" w:type="dxa"/>
          </w:tcPr>
          <w:p w14:paraId="349A4CC4" w14:textId="77777777" w:rsidR="00B8702E" w:rsidRPr="00047D35" w:rsidRDefault="00B8702E" w:rsidP="00B16724">
            <w:pPr>
              <w:rPr>
                <w:u w:val="single"/>
              </w:rPr>
            </w:pPr>
            <w:r w:rsidRPr="00047D35">
              <w:rPr>
                <w:u w:val="single"/>
              </w:rPr>
              <w:t>Insert Method</w:t>
            </w:r>
          </w:p>
        </w:tc>
        <w:tc>
          <w:tcPr>
            <w:tcW w:w="1710" w:type="dxa"/>
          </w:tcPr>
          <w:p w14:paraId="1E7FC443" w14:textId="77777777" w:rsidR="00B8702E" w:rsidRPr="00047D35" w:rsidRDefault="00B8702E" w:rsidP="00B16724">
            <w:pPr>
              <w:rPr>
                <w:u w:val="single"/>
              </w:rPr>
            </w:pPr>
            <w:r w:rsidRPr="00047D35">
              <w:rPr>
                <w:u w:val="single"/>
              </w:rPr>
              <w:t>Append Method</w:t>
            </w:r>
          </w:p>
        </w:tc>
      </w:tr>
      <w:tr w:rsidR="00B8702E" w14:paraId="3927B925" w14:textId="77777777" w:rsidTr="00B16724">
        <w:trPr>
          <w:trHeight w:val="443"/>
        </w:trPr>
        <w:tc>
          <w:tcPr>
            <w:tcW w:w="2316" w:type="dxa"/>
          </w:tcPr>
          <w:p w14:paraId="55144A00" w14:textId="5CE70D17" w:rsidR="00B8702E" w:rsidRDefault="00B8702E" w:rsidP="00B16724">
            <w:r>
              <w:t>Tiny</w:t>
            </w:r>
            <w:r>
              <w:t xml:space="preserve"> (10)</w:t>
            </w:r>
          </w:p>
        </w:tc>
        <w:tc>
          <w:tcPr>
            <w:tcW w:w="1549" w:type="dxa"/>
          </w:tcPr>
          <w:p w14:paraId="0667CF66" w14:textId="57AB5B73" w:rsidR="00B8702E" w:rsidRPr="00002EA6" w:rsidRDefault="00B8702E" w:rsidP="00B16724">
            <w:pPr>
              <w:rPr>
                <w:sz w:val="28"/>
                <w:szCs w:val="28"/>
              </w:rPr>
            </w:pPr>
            <w:r w:rsidRPr="00002EA6">
              <w:rPr>
                <w:b/>
                <w:bCs/>
                <w:sz w:val="28"/>
                <w:szCs w:val="28"/>
              </w:rPr>
              <w:t>48.5</w:t>
            </w:r>
            <w:r w:rsidR="00002EA6" w:rsidRPr="00002EA6">
              <w:rPr>
                <w:b/>
                <w:bCs/>
                <w:sz w:val="28"/>
                <w:szCs w:val="28"/>
              </w:rPr>
              <w:t xml:space="preserve"> </w:t>
            </w:r>
            <w:r w:rsidRPr="00002EA6">
              <w:rPr>
                <w:sz w:val="28"/>
                <w:szCs w:val="28"/>
              </w:rPr>
              <w:t>μs</w:t>
            </w:r>
          </w:p>
        </w:tc>
        <w:tc>
          <w:tcPr>
            <w:tcW w:w="1710" w:type="dxa"/>
          </w:tcPr>
          <w:p w14:paraId="578C3706" w14:textId="24FFAD4A" w:rsidR="00B8702E" w:rsidRPr="00002EA6" w:rsidRDefault="00B8702E" w:rsidP="00B16724">
            <w:pPr>
              <w:rPr>
                <w:sz w:val="28"/>
                <w:szCs w:val="28"/>
              </w:rPr>
            </w:pPr>
            <w:r w:rsidRPr="00002EA6">
              <w:rPr>
                <w:b/>
                <w:bCs/>
                <w:sz w:val="28"/>
                <w:szCs w:val="28"/>
              </w:rPr>
              <w:t>117.9</w:t>
            </w:r>
            <w:r w:rsidR="00002EA6" w:rsidRPr="00002EA6">
              <w:rPr>
                <w:b/>
                <w:bCs/>
                <w:sz w:val="28"/>
                <w:szCs w:val="28"/>
              </w:rPr>
              <w:t xml:space="preserve"> </w:t>
            </w:r>
            <w:r w:rsidRPr="00002EA6">
              <w:rPr>
                <w:sz w:val="28"/>
                <w:szCs w:val="28"/>
              </w:rPr>
              <w:t>μs</w:t>
            </w:r>
          </w:p>
        </w:tc>
      </w:tr>
      <w:tr w:rsidR="00B8702E" w14:paraId="7B6DF88D" w14:textId="77777777" w:rsidTr="00B16724">
        <w:trPr>
          <w:trHeight w:val="469"/>
        </w:trPr>
        <w:tc>
          <w:tcPr>
            <w:tcW w:w="2316" w:type="dxa"/>
          </w:tcPr>
          <w:p w14:paraId="43F6A3B9" w14:textId="4099D8D5" w:rsidR="00B8702E" w:rsidRDefault="00B8702E" w:rsidP="00B16724">
            <w:r>
              <w:t>Small</w:t>
            </w:r>
            <w:r>
              <w:t xml:space="preserve"> (100)</w:t>
            </w:r>
          </w:p>
        </w:tc>
        <w:tc>
          <w:tcPr>
            <w:tcW w:w="1549" w:type="dxa"/>
          </w:tcPr>
          <w:p w14:paraId="67F3BD88" w14:textId="63E02F2E" w:rsidR="00B8702E" w:rsidRPr="00002EA6" w:rsidRDefault="00B8702E" w:rsidP="00B16724">
            <w:pPr>
              <w:rPr>
                <w:sz w:val="28"/>
                <w:szCs w:val="28"/>
              </w:rPr>
            </w:pPr>
            <w:r w:rsidRPr="00002EA6">
              <w:rPr>
                <w:b/>
                <w:bCs/>
                <w:sz w:val="28"/>
                <w:szCs w:val="28"/>
              </w:rPr>
              <w:t>64.8</w:t>
            </w:r>
            <w:r w:rsidR="00002EA6" w:rsidRPr="00002EA6">
              <w:rPr>
                <w:b/>
                <w:bCs/>
                <w:sz w:val="28"/>
                <w:szCs w:val="28"/>
              </w:rPr>
              <w:t xml:space="preserve"> </w:t>
            </w:r>
            <w:r w:rsidRPr="00002EA6">
              <w:rPr>
                <w:sz w:val="28"/>
                <w:szCs w:val="28"/>
              </w:rPr>
              <w:t>μs</w:t>
            </w:r>
          </w:p>
        </w:tc>
        <w:tc>
          <w:tcPr>
            <w:tcW w:w="1710" w:type="dxa"/>
          </w:tcPr>
          <w:p w14:paraId="0CBAF5A2" w14:textId="2B422E87" w:rsidR="00B8702E" w:rsidRPr="00002EA6" w:rsidRDefault="00B8702E" w:rsidP="00B16724">
            <w:pPr>
              <w:rPr>
                <w:sz w:val="28"/>
                <w:szCs w:val="28"/>
              </w:rPr>
            </w:pPr>
            <w:r w:rsidRPr="00002EA6">
              <w:rPr>
                <w:b/>
                <w:bCs/>
                <w:sz w:val="28"/>
                <w:szCs w:val="28"/>
              </w:rPr>
              <w:t>140.7</w:t>
            </w:r>
            <w:r w:rsidR="00002EA6" w:rsidRPr="00002EA6">
              <w:rPr>
                <w:b/>
                <w:bCs/>
                <w:sz w:val="28"/>
                <w:szCs w:val="28"/>
              </w:rPr>
              <w:t xml:space="preserve"> </w:t>
            </w:r>
            <w:r w:rsidRPr="00002EA6">
              <w:rPr>
                <w:sz w:val="28"/>
                <w:szCs w:val="28"/>
              </w:rPr>
              <w:t>μs</w:t>
            </w:r>
          </w:p>
        </w:tc>
      </w:tr>
      <w:tr w:rsidR="00B8702E" w14:paraId="12C49384" w14:textId="77777777" w:rsidTr="00B16724">
        <w:trPr>
          <w:trHeight w:val="443"/>
        </w:trPr>
        <w:tc>
          <w:tcPr>
            <w:tcW w:w="2316" w:type="dxa"/>
          </w:tcPr>
          <w:p w14:paraId="44E53BF9" w14:textId="2E157DD9" w:rsidR="00B8702E" w:rsidRDefault="00B8702E" w:rsidP="00B16724">
            <w:r>
              <w:t>Medium</w:t>
            </w:r>
            <w:r>
              <w:t xml:space="preserve"> (1000)</w:t>
            </w:r>
          </w:p>
        </w:tc>
        <w:tc>
          <w:tcPr>
            <w:tcW w:w="1549" w:type="dxa"/>
          </w:tcPr>
          <w:p w14:paraId="293A97F3" w14:textId="2A7EE0D6" w:rsidR="00B8702E" w:rsidRPr="00002EA6" w:rsidRDefault="00B8702E" w:rsidP="00B16724">
            <w:pPr>
              <w:rPr>
                <w:sz w:val="28"/>
                <w:szCs w:val="28"/>
              </w:rPr>
            </w:pPr>
            <w:r w:rsidRPr="00002EA6">
              <w:rPr>
                <w:b/>
                <w:bCs/>
                <w:sz w:val="28"/>
                <w:szCs w:val="28"/>
              </w:rPr>
              <w:t>239.8</w:t>
            </w:r>
            <w:r w:rsidR="00002EA6" w:rsidRPr="00002EA6">
              <w:rPr>
                <w:b/>
                <w:bCs/>
                <w:sz w:val="28"/>
                <w:szCs w:val="28"/>
              </w:rPr>
              <w:t xml:space="preserve"> </w:t>
            </w:r>
            <w:r w:rsidRPr="00002EA6">
              <w:rPr>
                <w:sz w:val="28"/>
                <w:szCs w:val="28"/>
              </w:rPr>
              <w:t>μs</w:t>
            </w:r>
          </w:p>
        </w:tc>
        <w:tc>
          <w:tcPr>
            <w:tcW w:w="1710" w:type="dxa"/>
          </w:tcPr>
          <w:p w14:paraId="47E40C9C" w14:textId="42FAD174" w:rsidR="00B8702E" w:rsidRPr="00002EA6" w:rsidRDefault="00B8702E" w:rsidP="00B16724">
            <w:pPr>
              <w:rPr>
                <w:sz w:val="28"/>
                <w:szCs w:val="28"/>
              </w:rPr>
            </w:pPr>
            <w:r w:rsidRPr="00002EA6">
              <w:rPr>
                <w:b/>
                <w:bCs/>
                <w:sz w:val="28"/>
                <w:szCs w:val="28"/>
              </w:rPr>
              <w:t>192.8</w:t>
            </w:r>
            <w:r w:rsidR="00002EA6" w:rsidRPr="00002EA6">
              <w:rPr>
                <w:b/>
                <w:bCs/>
                <w:sz w:val="28"/>
                <w:szCs w:val="28"/>
              </w:rPr>
              <w:t xml:space="preserve"> </w:t>
            </w:r>
            <w:r w:rsidRPr="00002EA6">
              <w:rPr>
                <w:sz w:val="28"/>
                <w:szCs w:val="28"/>
              </w:rPr>
              <w:t>μs</w:t>
            </w:r>
          </w:p>
        </w:tc>
      </w:tr>
      <w:tr w:rsidR="00B8702E" w14:paraId="5C203DE3" w14:textId="77777777" w:rsidTr="00B16724">
        <w:trPr>
          <w:trHeight w:val="469"/>
        </w:trPr>
        <w:tc>
          <w:tcPr>
            <w:tcW w:w="2316" w:type="dxa"/>
          </w:tcPr>
          <w:p w14:paraId="1A5BF670" w14:textId="5703C2C2" w:rsidR="00B8702E" w:rsidRDefault="00B8702E" w:rsidP="00B16724">
            <w:r>
              <w:t>Large</w:t>
            </w:r>
            <w:r>
              <w:t xml:space="preserve"> (10000)</w:t>
            </w:r>
          </w:p>
        </w:tc>
        <w:tc>
          <w:tcPr>
            <w:tcW w:w="1549" w:type="dxa"/>
          </w:tcPr>
          <w:p w14:paraId="5509E51A" w14:textId="60844583" w:rsidR="00B8702E" w:rsidRPr="00002EA6" w:rsidRDefault="00B8702E" w:rsidP="00B16724">
            <w:pPr>
              <w:rPr>
                <w:sz w:val="28"/>
                <w:szCs w:val="28"/>
              </w:rPr>
            </w:pPr>
            <w:r w:rsidRPr="00002EA6">
              <w:rPr>
                <w:b/>
                <w:bCs/>
                <w:sz w:val="28"/>
                <w:szCs w:val="28"/>
              </w:rPr>
              <w:t>12.587</w:t>
            </w:r>
            <w:r w:rsidR="00002EA6" w:rsidRPr="00002EA6">
              <w:rPr>
                <w:b/>
                <w:bCs/>
                <w:sz w:val="28"/>
                <w:szCs w:val="28"/>
              </w:rPr>
              <w:t xml:space="preserve"> </w:t>
            </w:r>
            <w:r w:rsidRPr="00002EA6">
              <w:rPr>
                <w:sz w:val="28"/>
                <w:szCs w:val="28"/>
              </w:rPr>
              <w:t>ms</w:t>
            </w:r>
          </w:p>
        </w:tc>
        <w:tc>
          <w:tcPr>
            <w:tcW w:w="1710" w:type="dxa"/>
          </w:tcPr>
          <w:p w14:paraId="77A6FC0C" w14:textId="4D6B8F47" w:rsidR="00B8702E" w:rsidRPr="00002EA6" w:rsidRDefault="00B8702E" w:rsidP="00B16724">
            <w:pPr>
              <w:rPr>
                <w:sz w:val="28"/>
                <w:szCs w:val="28"/>
              </w:rPr>
            </w:pPr>
            <w:r w:rsidRPr="00002EA6">
              <w:rPr>
                <w:b/>
                <w:bCs/>
                <w:sz w:val="28"/>
                <w:szCs w:val="28"/>
              </w:rPr>
              <w:t>0.748</w:t>
            </w:r>
            <w:r w:rsidR="00002EA6" w:rsidRPr="00002EA6">
              <w:rPr>
                <w:b/>
                <w:bCs/>
                <w:sz w:val="28"/>
                <w:szCs w:val="28"/>
              </w:rPr>
              <w:t xml:space="preserve"> </w:t>
            </w:r>
            <w:r w:rsidRPr="00002EA6">
              <w:rPr>
                <w:sz w:val="28"/>
                <w:szCs w:val="28"/>
              </w:rPr>
              <w:t>ms</w:t>
            </w:r>
          </w:p>
        </w:tc>
      </w:tr>
      <w:tr w:rsidR="00B8702E" w14:paraId="7FFF5D19" w14:textId="77777777" w:rsidTr="00B16724">
        <w:trPr>
          <w:trHeight w:val="469"/>
        </w:trPr>
        <w:tc>
          <w:tcPr>
            <w:tcW w:w="2316" w:type="dxa"/>
          </w:tcPr>
          <w:p w14:paraId="5BF30C19" w14:textId="456A2EF7" w:rsidR="00B8702E" w:rsidRDefault="00B8702E" w:rsidP="00B16724">
            <w:r>
              <w:t>Extra Large</w:t>
            </w:r>
            <w:r>
              <w:t xml:space="preserve"> (100000)</w:t>
            </w:r>
          </w:p>
        </w:tc>
        <w:tc>
          <w:tcPr>
            <w:tcW w:w="1549" w:type="dxa"/>
          </w:tcPr>
          <w:p w14:paraId="162404BC" w14:textId="5078BD16" w:rsidR="00B8702E" w:rsidRPr="00002EA6" w:rsidRDefault="00B8702E" w:rsidP="00B16724">
            <w:pPr>
              <w:rPr>
                <w:sz w:val="28"/>
                <w:szCs w:val="28"/>
              </w:rPr>
            </w:pPr>
            <w:r w:rsidRPr="00002EA6">
              <w:rPr>
                <w:b/>
                <w:bCs/>
                <w:sz w:val="28"/>
                <w:szCs w:val="28"/>
              </w:rPr>
              <w:t>1.425</w:t>
            </w:r>
            <w:r w:rsidR="00002EA6" w:rsidRPr="00002EA6">
              <w:rPr>
                <w:b/>
                <w:bCs/>
                <w:sz w:val="28"/>
                <w:szCs w:val="28"/>
              </w:rPr>
              <w:t xml:space="preserve"> </w:t>
            </w:r>
            <w:r w:rsidRPr="00002EA6">
              <w:rPr>
                <w:sz w:val="28"/>
                <w:szCs w:val="28"/>
              </w:rPr>
              <w:t>s</w:t>
            </w:r>
          </w:p>
        </w:tc>
        <w:tc>
          <w:tcPr>
            <w:tcW w:w="1710" w:type="dxa"/>
          </w:tcPr>
          <w:p w14:paraId="7ED6581D" w14:textId="326464B8" w:rsidR="00B8702E" w:rsidRPr="00002EA6" w:rsidRDefault="00B8702E" w:rsidP="00B16724">
            <w:pPr>
              <w:rPr>
                <w:sz w:val="28"/>
                <w:szCs w:val="28"/>
              </w:rPr>
            </w:pPr>
            <w:r w:rsidRPr="00002EA6">
              <w:rPr>
                <w:b/>
                <w:bCs/>
                <w:sz w:val="28"/>
                <w:szCs w:val="28"/>
              </w:rPr>
              <w:t>4.56</w:t>
            </w:r>
            <w:r w:rsidR="00002EA6" w:rsidRPr="00002EA6">
              <w:rPr>
                <w:b/>
                <w:bCs/>
                <w:sz w:val="28"/>
                <w:szCs w:val="28"/>
              </w:rPr>
              <w:t xml:space="preserve"> </w:t>
            </w:r>
            <w:r w:rsidRPr="00002EA6">
              <w:rPr>
                <w:sz w:val="28"/>
                <w:szCs w:val="28"/>
              </w:rPr>
              <w:t>ms</w:t>
            </w:r>
          </w:p>
        </w:tc>
      </w:tr>
    </w:tbl>
    <w:p w14:paraId="0BC68E9A" w14:textId="48CE374D" w:rsidR="00AF0514" w:rsidRDefault="00AF0514"/>
    <w:p w14:paraId="11E5C2E6" w14:textId="02A37EFF" w:rsidR="001212C0" w:rsidRDefault="001212C0"/>
    <w:p w14:paraId="554BBA4D" w14:textId="5537089F" w:rsidR="00B8702E" w:rsidRDefault="00B8702E"/>
    <w:p w14:paraId="3B5294C7" w14:textId="6A22680A" w:rsidR="00B8702E" w:rsidRDefault="00B8702E"/>
    <w:p w14:paraId="44FE27FE" w14:textId="65510560" w:rsidR="00B8702E" w:rsidRDefault="00B8702E"/>
    <w:p w14:paraId="7048265D" w14:textId="1AF4AC9B" w:rsidR="00B8702E" w:rsidRDefault="00B8702E"/>
    <w:p w14:paraId="378E82A9" w14:textId="71376AC1" w:rsidR="00B8702E" w:rsidRDefault="00B8702E"/>
    <w:p w14:paraId="0C595169" w14:textId="77777777" w:rsidR="006D4206" w:rsidRDefault="006D4206"/>
    <w:p w14:paraId="3DA73F88" w14:textId="77777777" w:rsidR="006D4206" w:rsidRDefault="006D4206"/>
    <w:p w14:paraId="46009C9B" w14:textId="77777777" w:rsidR="006D4206" w:rsidRDefault="006D4206"/>
    <w:p w14:paraId="7388D474" w14:textId="230D12F0" w:rsidR="006D4206" w:rsidRPr="006B6D35" w:rsidRDefault="00CA031F" w:rsidP="006D4206">
      <w:r>
        <w:rPr>
          <w:noProof/>
        </w:rPr>
        <w:drawing>
          <wp:inline distT="0" distB="0" distL="0" distR="0" wp14:anchorId="08DFA8DC" wp14:editId="4E6AE3D2">
            <wp:extent cx="6315075" cy="22098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10F054" w14:textId="19FD3CAA" w:rsidR="001304A0" w:rsidRPr="007236FF" w:rsidRDefault="006D4206">
      <w:pPr>
        <w:rPr>
          <w:sz w:val="28"/>
          <w:szCs w:val="28"/>
        </w:rPr>
      </w:pPr>
      <w:r w:rsidRPr="006D4206">
        <w:rPr>
          <w:sz w:val="28"/>
          <w:szCs w:val="28"/>
        </w:rPr>
        <w:t xml:space="preserve">At first glance, the data appears to favor the </w:t>
      </w:r>
      <w:r w:rsidR="00B16724">
        <w:rPr>
          <w:sz w:val="28"/>
          <w:szCs w:val="28"/>
        </w:rPr>
        <w:t>Insert</w:t>
      </w:r>
      <w:r w:rsidRPr="006D4206">
        <w:rPr>
          <w:sz w:val="28"/>
          <w:szCs w:val="28"/>
        </w:rPr>
        <w:t xml:space="preserve"> method</w:t>
      </w:r>
      <w:r w:rsidR="00B16724">
        <w:rPr>
          <w:sz w:val="28"/>
          <w:szCs w:val="28"/>
        </w:rPr>
        <w:t xml:space="preserve"> over the Append method,</w:t>
      </w:r>
      <w:r w:rsidRPr="006D4206">
        <w:rPr>
          <w:sz w:val="28"/>
          <w:szCs w:val="28"/>
        </w:rPr>
        <w:t xml:space="preserve"> for arrays smaller than 1000 elements. </w:t>
      </w:r>
      <w:r w:rsidR="00B16724">
        <w:rPr>
          <w:sz w:val="28"/>
          <w:szCs w:val="28"/>
        </w:rPr>
        <w:t>However, a</w:t>
      </w:r>
      <w:r w:rsidRPr="006D4206">
        <w:rPr>
          <w:sz w:val="28"/>
          <w:szCs w:val="28"/>
        </w:rPr>
        <w:t>s the input data increases</w:t>
      </w:r>
      <w:r w:rsidR="00B16724">
        <w:rPr>
          <w:sz w:val="28"/>
          <w:szCs w:val="28"/>
        </w:rPr>
        <w:t xml:space="preserve"> beyond 1000</w:t>
      </w:r>
      <w:r w:rsidRPr="006D4206">
        <w:rPr>
          <w:sz w:val="28"/>
          <w:szCs w:val="28"/>
        </w:rPr>
        <w:t xml:space="preserve">, the append method yields a much shorter runtime. </w:t>
      </w:r>
      <w:r w:rsidR="00B16724">
        <w:rPr>
          <w:sz w:val="28"/>
          <w:szCs w:val="28"/>
        </w:rPr>
        <w:t xml:space="preserve">The upward slope of Append is much more gradual, which bodes well for runtime given exponentially bigger databases. This would make Append the clear choice for </w:t>
      </w:r>
      <w:proofErr w:type="gramStart"/>
      <w:r w:rsidR="00B16724">
        <w:rPr>
          <w:sz w:val="28"/>
          <w:szCs w:val="28"/>
        </w:rPr>
        <w:t>scalability, and</w:t>
      </w:r>
      <w:proofErr w:type="gramEnd"/>
      <w:r w:rsidR="00B16724">
        <w:rPr>
          <w:sz w:val="28"/>
          <w:szCs w:val="28"/>
        </w:rPr>
        <w:t xml:space="preserve"> can be rationalized by considering the procedures required for each. While Append is merely adding an element into the end of the new array </w:t>
      </w:r>
      <w:proofErr w:type="gramStart"/>
      <w:r w:rsidR="00B16724">
        <w:rPr>
          <w:sz w:val="28"/>
          <w:szCs w:val="28"/>
        </w:rPr>
        <w:t>via .push</w:t>
      </w:r>
      <w:proofErr w:type="gramEnd"/>
      <w:r w:rsidR="00B16724">
        <w:rPr>
          <w:sz w:val="28"/>
          <w:szCs w:val="28"/>
        </w:rPr>
        <w:t xml:space="preserve">, the Insert method is adding the element to the beginning of the new array and subsequently moving every previous element over by one index. As the input array increases, this can greatly affect runtime. The difference between the </w:t>
      </w:r>
      <w:r w:rsidR="001304A0">
        <w:rPr>
          <w:sz w:val="28"/>
          <w:szCs w:val="28"/>
        </w:rPr>
        <w:t>append(tiny) vs. append(</w:t>
      </w:r>
      <w:proofErr w:type="spellStart"/>
      <w:r w:rsidR="001304A0">
        <w:rPr>
          <w:sz w:val="28"/>
          <w:szCs w:val="28"/>
        </w:rPr>
        <w:t>extraLarge</w:t>
      </w:r>
      <w:proofErr w:type="spellEnd"/>
      <w:r w:rsidR="001304A0">
        <w:rPr>
          <w:sz w:val="28"/>
          <w:szCs w:val="28"/>
        </w:rPr>
        <w:t>) is a mere 4.4 ms, while the difference using Insert is a whopping 1.4249 s.</w:t>
      </w:r>
      <w:r w:rsidR="006B6D35">
        <w:rPr>
          <w:sz w:val="28"/>
          <w:szCs w:val="28"/>
        </w:rPr>
        <w:t xml:space="preserve"> (I tried running an array with 1 mil elements, the execution-time pkg was not having it…)</w:t>
      </w:r>
    </w:p>
    <w:sectPr w:rsidR="001304A0" w:rsidRPr="007236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F20B7" w14:textId="77777777" w:rsidR="00315790" w:rsidRDefault="00315790" w:rsidP="001212C0">
      <w:pPr>
        <w:spacing w:after="0" w:line="240" w:lineRule="auto"/>
      </w:pPr>
      <w:r>
        <w:separator/>
      </w:r>
    </w:p>
  </w:endnote>
  <w:endnote w:type="continuationSeparator" w:id="0">
    <w:p w14:paraId="0E0B1127" w14:textId="77777777" w:rsidR="00315790" w:rsidRDefault="00315790" w:rsidP="00121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AD3F5" w14:textId="77777777" w:rsidR="00315790" w:rsidRDefault="00315790" w:rsidP="001212C0">
      <w:pPr>
        <w:spacing w:after="0" w:line="240" w:lineRule="auto"/>
      </w:pPr>
      <w:r>
        <w:separator/>
      </w:r>
    </w:p>
  </w:footnote>
  <w:footnote w:type="continuationSeparator" w:id="0">
    <w:p w14:paraId="09829E0B" w14:textId="77777777" w:rsidR="00315790" w:rsidRDefault="00315790" w:rsidP="00121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58AC" w14:textId="66AA2276" w:rsidR="001212C0" w:rsidRDefault="001212C0">
    <w:pPr>
      <w:pStyle w:val="Header"/>
    </w:pPr>
    <w:r>
      <w:rPr>
        <w:noProof/>
      </w:rPr>
      <mc:AlternateContent>
        <mc:Choice Requires="wps">
          <w:drawing>
            <wp:anchor distT="0" distB="0" distL="118745" distR="118745" simplePos="0" relativeHeight="251659264" behindDoc="1" locked="0" layoutInCell="1" allowOverlap="0" wp14:anchorId="27F8EF72" wp14:editId="1406B5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C789301" w14:textId="42E1CF19" w:rsidR="001212C0" w:rsidRDefault="001212C0">
                              <w:pPr>
                                <w:pStyle w:val="Header"/>
                                <w:tabs>
                                  <w:tab w:val="clear" w:pos="4680"/>
                                  <w:tab w:val="clear" w:pos="9360"/>
                                </w:tabs>
                                <w:jc w:val="center"/>
                                <w:rPr>
                                  <w:caps/>
                                  <w:color w:val="FFFFFF" w:themeColor="background1"/>
                                </w:rPr>
                              </w:pPr>
                              <w:r>
                                <w:rPr>
                                  <w:caps/>
                                  <w:color w:val="FFFFFF" w:themeColor="background1"/>
                                </w:rPr>
                                <w:t xml:space="preserve">Assessment 7 Notes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7F8EF7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C789301" w14:textId="42E1CF19" w:rsidR="001212C0" w:rsidRDefault="001212C0">
                        <w:pPr>
                          <w:pStyle w:val="Header"/>
                          <w:tabs>
                            <w:tab w:val="clear" w:pos="4680"/>
                            <w:tab w:val="clear" w:pos="9360"/>
                          </w:tabs>
                          <w:jc w:val="center"/>
                          <w:rPr>
                            <w:caps/>
                            <w:color w:val="FFFFFF" w:themeColor="background1"/>
                          </w:rPr>
                        </w:pPr>
                        <w:r>
                          <w:rPr>
                            <w:caps/>
                            <w:color w:val="FFFFFF" w:themeColor="background1"/>
                          </w:rPr>
                          <w:t xml:space="preserve">Assessment 7 Notes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2C0"/>
    <w:rsid w:val="00002EA6"/>
    <w:rsid w:val="00047D35"/>
    <w:rsid w:val="0010425E"/>
    <w:rsid w:val="001212C0"/>
    <w:rsid w:val="001304A0"/>
    <w:rsid w:val="00196A61"/>
    <w:rsid w:val="00315790"/>
    <w:rsid w:val="00646863"/>
    <w:rsid w:val="006B6D35"/>
    <w:rsid w:val="006D4206"/>
    <w:rsid w:val="007236FF"/>
    <w:rsid w:val="00AF0514"/>
    <w:rsid w:val="00B16724"/>
    <w:rsid w:val="00B8702E"/>
    <w:rsid w:val="00CA031F"/>
    <w:rsid w:val="00D9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E37BF"/>
  <w15:chartTrackingRefBased/>
  <w15:docId w15:val="{AE81108E-59A6-494D-8296-DB0C89C8B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2C0"/>
  </w:style>
  <w:style w:type="paragraph" w:styleId="Footer">
    <w:name w:val="footer"/>
    <w:basedOn w:val="Normal"/>
    <w:link w:val="FooterChar"/>
    <w:uiPriority w:val="99"/>
    <w:unhideWhenUsed/>
    <w:rsid w:val="00121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2C0"/>
  </w:style>
  <w:style w:type="table" w:styleId="TableGrid">
    <w:name w:val="Table Grid"/>
    <w:basedOn w:val="TableNormal"/>
    <w:uiPriority w:val="39"/>
    <w:rsid w:val="0012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Insert</c:v>
                </c:pt>
              </c:strCache>
            </c:strRef>
          </c:tx>
          <c:spPr>
            <a:ln w="28575" cap="rnd">
              <a:solidFill>
                <a:schemeClr val="accent1"/>
              </a:solidFill>
              <a:round/>
            </a:ln>
            <a:effectLst/>
          </c:spPr>
          <c:marker>
            <c:symbol val="none"/>
          </c:marker>
          <c:cat>
            <c:strRef>
              <c:f>Sheet1!$A$2:$A$6</c:f>
              <c:strCache>
                <c:ptCount val="5"/>
                <c:pt idx="0">
                  <c:v>Tiny (10)</c:v>
                </c:pt>
                <c:pt idx="1">
                  <c:v>Small (100)</c:v>
                </c:pt>
                <c:pt idx="2">
                  <c:v>Medium (1000)</c:v>
                </c:pt>
                <c:pt idx="3">
                  <c:v>Large (10000)</c:v>
                </c:pt>
                <c:pt idx="4">
                  <c:v>Extra Large (100000)</c:v>
                </c:pt>
              </c:strCache>
            </c:strRef>
          </c:cat>
          <c:val>
            <c:numRef>
              <c:f>Sheet1!$B$2:$B$6</c:f>
              <c:numCache>
                <c:formatCode>General</c:formatCode>
                <c:ptCount val="5"/>
                <c:pt idx="0">
                  <c:v>48.5</c:v>
                </c:pt>
                <c:pt idx="1">
                  <c:v>64.8</c:v>
                </c:pt>
                <c:pt idx="2">
                  <c:v>239.8</c:v>
                </c:pt>
                <c:pt idx="3">
                  <c:v>12587</c:v>
                </c:pt>
                <c:pt idx="4">
                  <c:v>1425000</c:v>
                </c:pt>
              </c:numCache>
            </c:numRef>
          </c:val>
          <c:smooth val="0"/>
          <c:extLst>
            <c:ext xmlns:c16="http://schemas.microsoft.com/office/drawing/2014/chart" uri="{C3380CC4-5D6E-409C-BE32-E72D297353CC}">
              <c16:uniqueId val="{00000000-FD62-4902-B798-D4AC71287C80}"/>
            </c:ext>
          </c:extLst>
        </c:ser>
        <c:ser>
          <c:idx val="1"/>
          <c:order val="1"/>
          <c:tx>
            <c:strRef>
              <c:f>Sheet1!$C$1</c:f>
              <c:strCache>
                <c:ptCount val="1"/>
                <c:pt idx="0">
                  <c:v>Append</c:v>
                </c:pt>
              </c:strCache>
            </c:strRef>
          </c:tx>
          <c:spPr>
            <a:ln w="28575" cap="rnd">
              <a:solidFill>
                <a:schemeClr val="accent2"/>
              </a:solidFill>
              <a:round/>
            </a:ln>
            <a:effectLst/>
          </c:spPr>
          <c:marker>
            <c:symbol val="none"/>
          </c:marker>
          <c:cat>
            <c:strRef>
              <c:f>Sheet1!$A$2:$A$6</c:f>
              <c:strCache>
                <c:ptCount val="5"/>
                <c:pt idx="0">
                  <c:v>Tiny (10)</c:v>
                </c:pt>
                <c:pt idx="1">
                  <c:v>Small (100)</c:v>
                </c:pt>
                <c:pt idx="2">
                  <c:v>Medium (1000)</c:v>
                </c:pt>
                <c:pt idx="3">
                  <c:v>Large (10000)</c:v>
                </c:pt>
                <c:pt idx="4">
                  <c:v>Extra Large (100000)</c:v>
                </c:pt>
              </c:strCache>
            </c:strRef>
          </c:cat>
          <c:val>
            <c:numRef>
              <c:f>Sheet1!$C$2:$C$6</c:f>
              <c:numCache>
                <c:formatCode>General</c:formatCode>
                <c:ptCount val="5"/>
                <c:pt idx="0">
                  <c:v>117.9</c:v>
                </c:pt>
                <c:pt idx="1">
                  <c:v>140.69999999999999</c:v>
                </c:pt>
                <c:pt idx="2">
                  <c:v>192.8</c:v>
                </c:pt>
                <c:pt idx="3">
                  <c:v>748</c:v>
                </c:pt>
                <c:pt idx="4">
                  <c:v>4560</c:v>
                </c:pt>
              </c:numCache>
            </c:numRef>
          </c:val>
          <c:smooth val="0"/>
          <c:extLst>
            <c:ext xmlns:c16="http://schemas.microsoft.com/office/drawing/2014/chart" uri="{C3380CC4-5D6E-409C-BE32-E72D297353CC}">
              <c16:uniqueId val="{00000001-FD62-4902-B798-D4AC71287C80}"/>
            </c:ext>
          </c:extLst>
        </c:ser>
        <c:dLbls>
          <c:showLegendKey val="0"/>
          <c:showVal val="0"/>
          <c:showCatName val="0"/>
          <c:showSerName val="0"/>
          <c:showPercent val="0"/>
          <c:showBubbleSize val="0"/>
        </c:dLbls>
        <c:smooth val="0"/>
        <c:axId val="1628199471"/>
        <c:axId val="1628199887"/>
      </c:lineChart>
      <c:catAx>
        <c:axId val="16281994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latin typeface="+mj-lt"/>
                  </a:rPr>
                  <a:t>Array</a:t>
                </a:r>
                <a:r>
                  <a:rPr lang="en-US" sz="1400" baseline="0">
                    <a:latin typeface="+mj-lt"/>
                  </a:rPr>
                  <a:t> Size</a:t>
                </a:r>
                <a:endParaRPr lang="en-US" sz="1400">
                  <a:latin typeface="+mj-lt"/>
                </a:endParaRPr>
              </a:p>
            </c:rich>
          </c:tx>
          <c:layout>
            <c:manualLayout>
              <c:xMode val="edge"/>
              <c:yMode val="edge"/>
              <c:x val="0.48099460418126466"/>
              <c:y val="0.71859127522852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8199887"/>
        <c:crosses val="autoZero"/>
        <c:auto val="1"/>
        <c:lblAlgn val="ctr"/>
        <c:lblOffset val="100"/>
        <c:noMultiLvlLbl val="0"/>
      </c:catAx>
      <c:valAx>
        <c:axId val="1628199887"/>
        <c:scaling>
          <c:logBase val="1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a:latin typeface="+mj-lt"/>
                  </a:rPr>
                  <a:t>Runtime</a:t>
                </a:r>
                <a:r>
                  <a:rPr lang="en-US" sz="1400" baseline="0">
                    <a:latin typeface="+mj-lt"/>
                  </a:rPr>
                  <a:t> (</a:t>
                </a:r>
                <a:r>
                  <a:rPr lang="en-US" sz="1400" b="0" i="0" u="none" strike="noStrike" baseline="0">
                    <a:effectLst/>
                    <a:latin typeface="+mj-lt"/>
                  </a:rPr>
                  <a:t>μs)</a:t>
                </a:r>
                <a:endParaRPr lang="en-US" sz="1400">
                  <a:latin typeface="+mj-lt"/>
                </a:endParaRPr>
              </a:p>
            </c:rich>
          </c:tx>
          <c:layout>
            <c:manualLayout>
              <c:xMode val="edge"/>
              <c:yMode val="edge"/>
              <c:x val="1.6088486676721969E-2"/>
              <c:y val="0.1812833740610010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8199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7 Notes</dc:title>
  <dc:subject/>
  <dc:creator>Logan Young</dc:creator>
  <cp:keywords/>
  <dc:description/>
  <cp:lastModifiedBy>Logan Young</cp:lastModifiedBy>
  <cp:revision>1</cp:revision>
  <dcterms:created xsi:type="dcterms:W3CDTF">2021-11-24T21:39:00Z</dcterms:created>
  <dcterms:modified xsi:type="dcterms:W3CDTF">2021-11-24T23:28:00Z</dcterms:modified>
</cp:coreProperties>
</file>