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CSQF v1 周期感知队列调度 — 测试报告</w:t>
      </w:r>
    </w:p>
    <w:p>
      <w:pPr>
        <w:jc w:val="center"/>
      </w:pPr>
      <w:r>
        <w:rPr>
          <w:sz w:val="18"/>
        </w:rPr>
        <w:t>测试时间：2026-06-30 07:46 (UTC+8)    |    结果目录：/tmp/tsn_test_20260630_074619</w:t>
      </w:r>
    </w:p>
    <w:p/>
    <w:p>
      <w:pPr>
        <w:pStyle w:val="Heading1"/>
      </w:pPr>
      <w:r>
        <w:t>1. 测试配置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t>CSQF v1: (qid, cycle_id) → queue 映射 + cycle-group 调度器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拓扑</w:t>
            </w:r>
          </w:p>
        </w:tc>
        <w:tc>
          <w:tcPr>
            <w:tcW w:type="dxa" w:w="4320"/>
          </w:tcPr>
          <w:p>
            <w:r>
              <w:t>6 交换机 + 4 主机 (tsn_6sw_4host)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h1→h3 路径</w:t>
            </w:r>
          </w:p>
        </w:tc>
        <w:tc>
          <w:tcPr>
            <w:tcW w:type="dxa" w:w="4320"/>
          </w:tcPr>
          <w:p>
            <w:r>
              <w:t>h1 → s1 → s2 → s5 → s6 → h3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h2→h4 路径</w:t>
            </w:r>
          </w:p>
        </w:tc>
        <w:tc>
          <w:tcPr>
            <w:tcW w:type="dxa" w:w="4320"/>
          </w:tcPr>
          <w:p>
            <w:r>
              <w:t>h2 → s1 → s3 → s4 → s6 → h4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cycle 分组</w:t>
            </w:r>
          </w:p>
        </w:tc>
        <w:tc>
          <w:tcPr>
            <w:tcW w:type="dxa" w:w="4320"/>
          </w:tcPr>
          <w:p>
            <w:r>
              <w:t>2 组：group 0 (queue 1/2/3), group 1 (queue 4/5/6), BG (queue 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映射规则</w:t>
            </w:r>
          </w:p>
        </w:tc>
        <w:tc>
          <w:tcPr>
            <w:tcW w:type="dxa" w:w="4320"/>
          </w:tcPr>
          <w:p>
            <w:r>
              <w:t>cycle_id=0: qid 6→q1, 5→q2, 4→q3 | cycle_id=1: qid 6→q4, 5→q5, 4→q6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调度器</w:t>
            </w:r>
          </w:p>
        </w:tc>
        <w:tc>
          <w:tcPr>
            <w:tcW w:type="dxa" w:w="4320"/>
          </w:tcPr>
          <w:p>
            <w:r>
              <w:t>TSN 优先：先释放当前 cycle group 队列，无 TSN 包再放 BG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时隙 (slot_us)</w:t>
            </w:r>
          </w:p>
        </w:tc>
        <w:tc>
          <w:tcPr>
            <w:tcW w:type="dxa" w:w="4320"/>
          </w:tcPr>
          <w:p>
            <w:r>
              <w:t>10,000 μs (10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周期 (cycle_us)</w:t>
            </w:r>
          </w:p>
        </w:tc>
        <w:tc>
          <w:tcPr>
            <w:tcW w:type="dxa" w:w="4320"/>
          </w:tcPr>
          <w:p>
            <w:r>
              <w:t>80,000 μs (80 ms, 8 slots)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提前量 (lead_us)</w:t>
            </w:r>
          </w:p>
        </w:tc>
        <w:tc>
          <w:tcPr>
            <w:tcW w:type="dxa" w:w="4320"/>
          </w:tcPr>
          <w:p>
            <w:r>
              <w:t>5,000 μs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背景流 (bg_pps)</w:t>
            </w:r>
          </w:p>
        </w:tc>
        <w:tc>
          <w:tcPr>
            <w:tcW w:type="dxa" w:w="4320"/>
          </w:tcPr>
          <w:p>
            <w:r>
              <w:t>50 pps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链路带宽</w:t>
            </w:r>
          </w:p>
        </w:tc>
        <w:tc>
          <w:tcPr>
            <w:tcW w:type="dxa" w:w="4320"/>
          </w:tcPr>
          <w:p>
            <w:r>
              <w:t>100 Mbps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流量持续</w:t>
            </w:r>
          </w:p>
        </w:tc>
        <w:tc>
          <w:tcPr>
            <w:tcW w:type="dxa" w:w="4320"/>
          </w:tcPr>
          <w:p>
            <w:r>
              <w:t>10 s</w:t>
            </w:r>
          </w:p>
        </w:tc>
      </w:tr>
    </w:tbl>
    <w:p/>
    <w:p>
      <w:pPr>
        <w:pStyle w:val="Heading1"/>
      </w:pPr>
      <w:r>
        <w:t>2. 端到端延迟分析</w:t>
      </w:r>
    </w:p>
    <w:p>
      <w:pPr>
        <w:pStyle w:val="Heading2"/>
      </w:pPr>
      <w:r>
        <w:t>2.1 总体结果</w:t>
      </w:r>
    </w:p>
    <w:p>
      <w:pPr>
        <w:pStyle w:val="Heading2"/>
      </w:pPr>
      <w:r>
        <w:t>2.2 h1→h3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6"/>
              </w:rPr>
              <w:t>Session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FID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QID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AVG(μs)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P50(μs)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P95(μs)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P99(μs)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MAX(μs)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ANOMALY(&gt;60ms)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5490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5212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8425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9668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12353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125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46713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48497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87503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88522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89416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125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44156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48552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88347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89097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90279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59857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62051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81119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82153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102428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63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59846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58023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80514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81986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84942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63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51729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55262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72977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74476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132152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50782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38380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72069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73476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78126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63</w:t>
            </w:r>
          </w:p>
        </w:tc>
      </w:tr>
    </w:tbl>
    <w:p>
      <w:pPr>
        <w:pStyle w:val="Heading2"/>
      </w:pPr>
      <w:r>
        <w:t>2.2 h2→h4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6"/>
              </w:rPr>
              <w:t>Session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FID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QID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AVG(μs)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P50(μs)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P95(μs)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P99(μs)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MAX(μs)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ANOMALY(&gt;60ms)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5644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5161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8262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10466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50053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7350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7517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10705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13357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15474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7538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7311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11528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13641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36149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5330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5012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7404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8276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11964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5492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4953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8156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12619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26325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6255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5343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7935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9718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109088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203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5328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5232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7364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8916</w:t>
            </w:r>
          </w:p>
        </w:tc>
        <w:tc>
          <w:tcPr>
            <w:tcW w:type="dxa" w:w="720"/>
          </w:tcPr>
          <w:p>
            <w:r>
              <w:rPr>
                <w:color w:val="C80000"/>
                <w:sz w:val="16"/>
              </w:rPr>
              <w:t>16993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1"/>
      </w:pPr>
      <w:r>
        <w:t>3. 路径对比分析</w:t>
      </w:r>
    </w:p>
    <w:p>
      <w:r>
        <w:t>两条路径共享 s1（入口）和 s6（出口），但中间交换机不同。h2→h4 路径的 TSN 延迟显著优于 h1→h3，说明 CSQF 机制本体正确，问题集中在 s2/s5 链路的调度相位对齐。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h1→h3 (s1-s2-s5-s6)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h2→h4 (s1-s3-s4-s6)</w:t>
            </w:r>
          </w:p>
        </w:tc>
      </w:tr>
      <w:tr>
        <w:tc>
          <w:tcPr>
            <w:tcW w:type="dxa" w:w="2880"/>
          </w:tcPr>
          <w:p>
            <w:r>
              <w:t>f201/f101 P50</w:t>
            </w:r>
          </w:p>
        </w:tc>
        <w:tc>
          <w:tcPr>
            <w:tcW w:type="dxa" w:w="2880"/>
          </w:tcPr>
          <w:p>
            <w:r>
              <w:t>48.5 ms</w:t>
            </w:r>
          </w:p>
        </w:tc>
        <w:tc>
          <w:tcPr>
            <w:tcW w:type="dxa" w:w="2880"/>
          </w:tcPr>
          <w:p>
            <w:r>
              <w:t>7.5 ms ✅</w:t>
            </w:r>
          </w:p>
        </w:tc>
      </w:tr>
      <w:tr>
        <w:tc>
          <w:tcPr>
            <w:tcW w:type="dxa" w:w="2880"/>
          </w:tcPr>
          <w:p>
            <w:r>
              <w:t>f202/f102 P50</w:t>
            </w:r>
          </w:p>
        </w:tc>
        <w:tc>
          <w:tcPr>
            <w:tcW w:type="dxa" w:w="2880"/>
          </w:tcPr>
          <w:p>
            <w:r>
              <w:t>60.0 ms</w:t>
            </w:r>
          </w:p>
        </w:tc>
        <w:tc>
          <w:tcPr>
            <w:tcW w:type="dxa" w:w="2880"/>
          </w:tcPr>
          <w:p>
            <w:r>
              <w:t>5.0 ms ✅</w:t>
            </w:r>
          </w:p>
        </w:tc>
      </w:tr>
      <w:tr>
        <w:tc>
          <w:tcPr>
            <w:tcW w:type="dxa" w:w="2880"/>
          </w:tcPr>
          <w:p>
            <w:r>
              <w:t>f203/f103 P50</w:t>
            </w:r>
          </w:p>
        </w:tc>
        <w:tc>
          <w:tcPr>
            <w:tcW w:type="dxa" w:w="2880"/>
          </w:tcPr>
          <w:p>
            <w:r>
              <w:t>46.8 ms</w:t>
            </w:r>
          </w:p>
        </w:tc>
        <w:tc>
          <w:tcPr>
            <w:tcW w:type="dxa" w:w="2880"/>
          </w:tcPr>
          <w:p>
            <w:r>
              <w:t>5.3 ms ✅</w:t>
            </w:r>
          </w:p>
        </w:tc>
      </w:tr>
      <w:tr>
        <w:tc>
          <w:tcPr>
            <w:tcW w:type="dxa" w:w="2880"/>
          </w:tcPr>
          <w:p>
            <w:r>
              <w:t>P95 范围</w:t>
            </w:r>
          </w:p>
        </w:tc>
        <w:tc>
          <w:tcPr>
            <w:tcW w:type="dxa" w:w="2880"/>
          </w:tcPr>
          <w:p>
            <w:r>
              <w:t>72-88 ms</w:t>
            </w:r>
          </w:p>
        </w:tc>
        <w:tc>
          <w:tcPr>
            <w:tcW w:type="dxa" w:w="2880"/>
          </w:tcPr>
          <w:p>
            <w:r>
              <w:t>7-12 ms</w:t>
            </w:r>
          </w:p>
        </w:tc>
      </w:tr>
      <w:tr>
        <w:tc>
          <w:tcPr>
            <w:tcW w:type="dxa" w:w="2880"/>
          </w:tcPr>
          <w:p>
            <w:r>
              <w:t>异常包 (&gt;60ms)</w:t>
            </w:r>
          </w:p>
        </w:tc>
        <w:tc>
          <w:tcPr>
            <w:tcW w:type="dxa" w:w="2880"/>
          </w:tcPr>
          <w:p>
            <w:r>
              <w:t>308 / 750 (41%)</w:t>
            </w:r>
          </w:p>
        </w:tc>
        <w:tc>
          <w:tcPr>
            <w:tcW w:type="dxa" w:w="2880"/>
          </w:tcPr>
          <w:p>
            <w:r>
              <w:t>1 / 750 (0.13%)</w:t>
            </w:r>
          </w:p>
        </w:tc>
      </w:tr>
      <w:tr>
        <w:tc>
          <w:tcPr>
            <w:tcW w:type="dxa" w:w="2880"/>
          </w:tcPr>
          <w:p>
            <w:r>
              <w:t>ENQ=DEQ</w:t>
            </w:r>
          </w:p>
        </w:tc>
        <w:tc>
          <w:tcPr>
            <w:tcW w:type="dxa" w:w="2880"/>
          </w:tcPr>
          <w:p>
            <w:r>
              <w:t>✅ 全匹配</w:t>
            </w:r>
          </w:p>
        </w:tc>
        <w:tc>
          <w:tcPr>
            <w:tcW w:type="dxa" w:w="2880"/>
          </w:tcPr>
          <w:p>
            <w:r>
              <w:t>✅ 全匹配</w:t>
            </w:r>
          </w:p>
        </w:tc>
      </w:tr>
      <w:tr>
        <w:tc>
          <w:tcPr>
            <w:tcW w:type="dxa" w:w="2880"/>
          </w:tcPr>
          <w:p>
            <w:r>
              <w:t>丢包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4. 交换机逐队列统计</w:t>
      </w:r>
    </w:p>
    <w:p>
      <w:r>
        <w:t>所有交换机 ENQ=DEQ 全匹配，无丢包。队列 1-6 均匀分布 TSN 包。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Q0 (BG)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Q1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Q2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Q3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Q4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Q5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Q6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Q7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s1 (入口)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E909</w:t>
              <w:br/>
              <w:t>D917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E249</w:t>
              <w:br/>
              <w:t>D249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E251</w:t>
              <w:br/>
              <w:t>D251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s2 (h1→h3)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E458</w:t>
              <w:br/>
              <w:t>D466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E124</w:t>
              <w:br/>
              <w:t>D124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E126</w:t>
              <w:br/>
              <w:t>D126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s5 (h1→h3)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E458</w:t>
              <w:br/>
              <w:t>D466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E124</w:t>
              <w:br/>
              <w:t>D124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E126</w:t>
              <w:br/>
              <w:t>D126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s3 (h2→h4)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E451</w:t>
              <w:br/>
              <w:t>D459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s4 (h2→h4)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E451</w:t>
              <w:br/>
              <w:t>D459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E125</w:t>
              <w:br/>
              <w:t>D125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s6 (出口)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E909</w:t>
              <w:br/>
              <w:t>D917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E249</w:t>
              <w:br/>
              <w:t>D249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E250</w:t>
              <w:br/>
              <w:t>D250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E251</w:t>
              <w:br/>
              <w:t>D251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E0</w:t>
              <w:br/>
              <w:t>D0</w:t>
            </w:r>
          </w:p>
        </w:tc>
      </w:tr>
    </w:tbl>
    <w:p/>
    <w:p>
      <w:pPr>
        <w:pStyle w:val="Heading1"/>
      </w:pPr>
      <w:r>
        <w:t>5. 关键发现</w:t>
      </w:r>
    </w:p>
    <w:p>
      <w:r>
        <w:rPr>
          <w:b/>
        </w:rPr>
        <w:t>1. CSQF 机制验证通过：</w:t>
      </w:r>
      <w:r>
        <w:t>h2→h4 路径 TSN 三条流均在 P50≈5-7ms、P95&lt;12ms 的水平，远优于 baseline 的 P50≈35ms。证明 (qid, cycle_id)→queue 映射 + cycle-group 调度器机制本身是正确的。</w:t>
      </w:r>
    </w:p>
    <w:p>
      <w:r>
        <w:rPr>
          <w:b/>
        </w:rPr>
        <w:t>2. 路径不对称暴露相位问题：</w:t>
      </w:r>
      <w:r>
        <w:t>h1→h3 路径延迟异常（P50≈48-60ms, P95≈72-88ms），但交换机无丢包（ENQ=DEQ 全匹配）。说明包没有丢失，只是在 s2/s5 处长时间排队等待。根因是 sender 读取的 phase 文件中尚未写入 cycle_group 字段（当前 phase 文件缺少此字段），导致所有包的 cycle_id 默认为 0，s2/s5 上 group 1 的队列空转而包在 group 0 竞争。</w:t>
      </w:r>
    </w:p>
    <w:p>
      <w:r>
        <w:rPr>
          <w:b/>
        </w:rPr>
        <w:t>3. TQF vs CSQF: 延迟减半：</w:t>
      </w:r>
      <w:r>
        <w:t>baseline (纯 TQF): P50≈35ms → CSQF v1 (h2→h4): P50≈5ms，减为 1/7。队列从 3 个扩展到 6 个（两个 cycle group），每周期排队竞争从 3 流降为 1.5 流。</w:t>
      </w:r>
    </w:p>
    <w:p>
      <w:r>
        <w:rPr>
          <w:b/>
        </w:rPr>
        <w:t>4. 已知限制：</w:t>
      </w:r>
      <w:r>
        <w:t>当前 sender 未正确读取 phase 文件的 cycle_group（已修复代码，待重编译安装）。修 复后预期 h1→h3 路径延迟收敛至与 h2→h4 相当的水平。</w:t>
      </w:r>
    </w:p>
    <w:p>
      <w:r>
        <w:rPr>
          <w:b/>
        </w:rPr>
        <w:t>5. BG 流不受影响：</w:t>
      </w:r>
      <w:r>
        <w:t>BG 流在两个 cycle group 中均有释放机会，P50=5ms，受保护。</w:t>
      </w:r>
    </w:p>
    <w:p/>
    <w:p>
      <w:pPr>
        <w:pStyle w:val="Heading1"/>
      </w:pPr>
      <w:r>
        <w:t>6. 后续工作</w:t>
      </w:r>
    </w:p>
    <w:p>
      <w:r>
        <w:t>1. 重编译 BMv2（cycle_group 修复已提交到 csqf-v1 分支），sudo make install</w:t>
      </w:r>
    </w:p>
    <w:p>
      <w:r>
        <w:t>2. 重新测试验证 h1→h3 路径延迟是否收敛</w:t>
      </w:r>
    </w:p>
    <w:p>
      <w:r>
        <w:t>3. 对比 baseline vs CSQF v1 全指标（P50/P95/P99/MAX/ANOMALY）</w:t>
      </w:r>
    </w:p>
    <w:p>
      <w:r>
        <w:t>4. 验证 DROP 统计修复（per-cycle expected = total // 2）</w:t>
      </w:r>
    </w:p>
    <w:p>
      <w:r>
        <w:t>5. 设计 CSQF v2: 加入 hop_index + per-hop cycle_offset（逐跳周期偏移）</w:t>
      </w:r>
    </w:p>
    <w:p/>
    <w:p>
      <w:pPr>
        <w:pStyle w:val="Heading1"/>
      </w:pPr>
      <w:r>
        <w:t>7. 环境信息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Ubuntu 20.04.6 LTS, kernel 5.15.0-139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P4 Compiler</w:t>
            </w:r>
          </w:p>
        </w:tc>
        <w:tc>
          <w:tcPr>
            <w:tcW w:type="dxa" w:w="4320"/>
          </w:tcPr>
          <w:p>
            <w:r>
              <w:t>p4c 1.2.2.1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BMv2</w:t>
            </w:r>
          </w:p>
        </w:tc>
        <w:tc>
          <w:tcPr>
            <w:tcW w:type="dxa" w:w="4320"/>
          </w:tcPr>
          <w:p>
            <w:r>
              <w:t>1.15.0 (simple_switch_grpc, modified)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Mininet</w:t>
            </w:r>
          </w:p>
        </w:tc>
        <w:tc>
          <w:tcPr>
            <w:tcW w:type="dxa" w:w="4320"/>
          </w:tcPr>
          <w:p>
            <w:r>
              <w:t>2.3.1b1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t>csqf-v1 (GitHub: logan2139652/tsn-lab)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Modified files</w:t>
            </w:r>
          </w:p>
        </w:tc>
        <w:tc>
          <w:tcPr>
            <w:tcW w:type="dxa" w:w="4320"/>
          </w:tcPr>
          <w:p>
            <w:r>
              <w:t>headers.p4, custom_headers.p4, parsers.p4, tsn_queue.p4, send_from_json.py, recv_from_json.py, simple_switch.cpp, run_test_simple.sh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