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15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190" w:line="264" w:lineRule="auto"/>
      </w:pPr>
      <w:r>
        <w:rPr>
          <w:rFonts w:ascii="Arial" w:cs="Arial" w:eastAsia="Arial" w:hAnsi="Arial"/>
          <w:sz w:val="21"/>
          <w:szCs w:val="21"/>
        </w:rPr>
        <w:t xml:space="preserve">Transition to a 0.75 FTE salaried position at $41,500 annually beginning June 1, 2028, while maintaining the current hourly arrangement until then to demonstrate sufficient demand and financial viability.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15525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AN EXAMPLE YEAR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5057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f6e9d0656b914789d3081c693e06b382896fef6e.png"/><Relationship Id="rId9" Type="http://schemas.openxmlformats.org/officeDocument/2006/relationships/image" Target="media/274af2bd9cbc7603071a07200e40cbb11c4d7ad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2026-10-25T19:37:10.825Z</dcterms:created>
  <dcterms:modified xsi:type="dcterms:W3CDTF">2026-10-25T19:37:10.834Z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