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I AM PROPOSING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part-time position at 0.75 FTE and $41,500 a year, beginning 1 June 2028. The eighteen months before it are for testing whether the figures in this document hold. Nothing here needs deciding now.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BETWEEN NOW AND JUNE 2028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I continue on the current hourly arrangement through May 2028. The schedule in Section 5 is built for the years when we expect young children at home, which begin in 2029. Starting in June 2028 gives us a quarter to find the problems before the schedule has to hold.</w:t>
      </w:r>
    </w:p>
    <w:p>
      <w:pPr>
        <w:spacing w:after="90" w:line="264" w:lineRule="auto"/>
      </w:pPr>
      <w:r>
        <w:rPr>
          <w:rFonts w:ascii="Arial" w:cs="Arial" w:eastAsia="Arial" w:hAnsi="Arial"/>
          <w:sz w:val="21"/>
          <w:szCs w:val="21"/>
        </w:rPr>
        <w:t xml:space="preserve">What changes between now and then is that we begin tracking two things neither of us knows yet: what the clinic collects per encounter, and whether demand supports sixteen patients in a ten-hour day. Both come from the clinic's own records. If the October 2027 check shows they do not hold, we do not do this and the hourly arrangement continues.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/>
                <w:bCs/>
                <w:color w:val="1D7A5C"/>
                <w:sz w:val="21"/>
                <w:szCs w:val="21"/>
              </w:rPr>
              <w:t xml:space="preserve">January 2027</w:t>
            </w:r>
          </w:p>
        </w:tc>
        <w:tc>
          <w:tcPr>
            <w:tcW w:type="dxa" w:w="82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Current arrangement continues. Tracking begins.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/>
                <w:bCs/>
                <w:color w:val="1D7A5C"/>
                <w:sz w:val="21"/>
                <w:szCs w:val="21"/>
              </w:rPr>
              <w:t xml:space="preserve">October 2027</w:t>
            </w:r>
          </w:p>
        </w:tc>
        <w:tc>
          <w:tcPr>
            <w:tcW w:type="dxa" w:w="82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First check. Are collections and volume where they need to be?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/>
                <w:bCs/>
                <w:color w:val="1D7A5C"/>
                <w:sz w:val="21"/>
                <w:szCs w:val="21"/>
              </w:rPr>
              <w:t xml:space="preserve">January 2028</w:t>
            </w:r>
          </w:p>
        </w:tc>
        <w:tc>
          <w:tcPr>
            <w:tcW w:type="dxa" w:w="82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Decide, and write the contract if the answer is yes.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/>
                <w:bCs/>
                <w:color w:val="1D7A5C"/>
                <w:sz w:val="21"/>
                <w:szCs w:val="21"/>
              </w:rPr>
              <w:t xml:space="preserve">1 June 2028</w:t>
            </w:r>
          </w:p>
        </w:tc>
        <w:tc>
          <w:tcPr>
            <w:tcW w:type="dxa" w:w="82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Salaried position begins.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/>
                <w:bCs/>
                <w:color w:val="1D7A5C"/>
                <w:sz w:val="21"/>
                <w:szCs w:val="21"/>
              </w:rPr>
              <w:t xml:space="preserve">August 2028</w:t>
            </w:r>
          </w:p>
        </w:tc>
        <w:tc>
          <w:tcPr>
            <w:tcW w:type="dxa" w:w="82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40"/>
            </w:tcMar>
          </w:tcPr>
          <w:p>
            <w:pPr>
              <w:spacing w:after="0" w:line="240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Review the first quarter against the figures below.</w:t>
            </w:r>
          </w:p>
        </w:tc>
      </w:tr>
    </w:tbl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WE MEASURE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One number matters more than the rest. For every dollar the clinic pays me, how much does it keep once my sessions are paid for?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$103 A VISIT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59 cents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81 cents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98 cents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$1.27</w:t>
            </w:r>
          </w:p>
        </w:tc>
      </w:tr>
    </w:tbl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That is collections from my sessions, less the overhead another session actually adds, less what I cost including payroll taxes, divided by what I cost. Sections 6 and 7 show the arithmetic. We would review it each August against the year before.</w:t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For scale, the clinic took in $1,643,163 in 2024 against $1,622,030 of expenses, a net margin of 1.3 percent, with $950,079 of that from program services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. At sixteen patients a day my sessions would collect $119,520 to $136,784. Whether that is all new revenue depends on whether these are encounters the clinic would not otherwise have had. I could not find a published figure for what a clinic earns on a physician's cost generally, so the benchmark I would use is the clinic's own, year over year.</w:t>
      </w:r>
    </w:p>
    <w:p>
      <w:r>
        <w:br w:type="page"/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POSITION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role at 0.75 FTE, 30 hours per week annualized, at $41,500 a year. I would give the clinic my schedule a quarter at a time, as I do now.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SCHEDULE</w:t>
      </w:r>
    </w:p>
    <w:p>
      <w:pPr>
        <w:spacing w:after="130" w:line="264" w:lineRule="auto"/>
      </w:pPr>
      <w:r>
        <w:rPr>
          <w:rFonts w:ascii="Arial" w:cs="Arial" w:eastAsia="Arial" w:hAnsi="Arial"/>
          <w:sz w:val="21"/>
          <w:szCs w:val="21"/>
        </w:rPr>
        <w:t xml:space="preserve">About 83 clinic days a year, roughly two a week, at ten hours each. We start at sixteen patients a day, which is 38 minutes a visit. If demand supports it we work up to twenty, which is 30 minutes. I would keep twelve weeks off.</w:t>
      </w:r>
    </w:p>
    <w:p>
      <w:pPr>
        <w:spacing w:after="40" w:line="240" w:lineRule="auto"/>
      </w:pPr>
      <w:r>
        <w:drawing>
          <wp:inline distT="0" distB="0" distL="0" distR="0">
            <wp:extent cx="6858000" cy="8477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IT COSTS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$41,500, or $45,235 with payroll taxes.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20 PATIENTS A DAY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Encounters a year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1,328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1,660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My cost per encounter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$34.06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$27.25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of collections 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38%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30%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at $103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33%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26%</w:t>
            </w:r>
          </w:p>
        </w:tc>
      </w:tr>
    </w:tbl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7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THE CLINIC KEEPS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What matters is what another session adds, not what the practice averages. Rent, the records system, management and the front desk do not change because I am there on a Tuesday. After marginal overhead</w:t>
      </w:r>
      <w:r>
        <w:rPr>
          <w:rStyle w:val="FootnoteReference"/>
        </w:rPr>
        <w:footnoteReference w:id="2"/>
      </w:r>
      <w:r>
        <w:rPr>
          <w:rFonts w:ascii="Arial" w:cs="Arial" w:eastAsia="Arial" w:hAnsi="Arial"/>
          <w:sz w:val="21"/>
          <w:szCs w:val="21"/>
        </w:rPr>
        <w:t xml:space="preserve"> and after paying me: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$103 A VISIT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$26,477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$36,811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$44,405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$57,323</w:t>
            </w:r>
          </w:p>
        </w:tc>
      </w:tr>
    </w:tbl>
    <w:p>
      <w:pPr>
        <w:spacing w:after="0" w:before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By comparison, median total compensation for a primary care physician is $312,427, and the lower quartile is $256,853</w:t>
      </w:r>
      <w:r>
        <w:rPr>
          <w:rStyle w:val="FootnoteReference"/>
        </w:rPr>
        <w:footnoteReference w:id="3"/>
      </w:r>
      <w:r>
        <w:rPr>
          <w:rFonts w:ascii="Arial" w:cs="Arial" w:eastAsia="Arial" w:hAnsi="Arial"/>
          <w:sz w:val="21"/>
          <w:szCs w:val="21"/>
        </w:rPr>
        <w:t xml:space="preserve">. This role is $41,500.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8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ONE REQUEST ABOUT WORDING</w:t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I am working toward Public Service Loan Forgiveness</w:t>
      </w:r>
      <w:r>
        <w:rPr>
          <w:rStyle w:val="FootnoteReference"/>
        </w:rPr>
        <w:footnoteReference w:id="4"/>
      </w:r>
      <w:r>
        <w:rPr>
          <w:rFonts w:ascii="Arial" w:cs="Arial" w:eastAsia="Arial" w:hAnsi="Arial"/>
          <w:sz w:val="21"/>
          <w:szCs w:val="21"/>
        </w:rPr>
        <w:t xml:space="preserve">. The form asks the clinic for my average hours per week, counting vacation and leave. Writing the contract as 0.75 FTE, 30 hours per week annualized gives that figure directly.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858000" cy="54864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Fredericksburg Christian Health Center, IRS Form 990 for the year ending December 2024, as digitized by </w:t>
      </w:r>
      <w:hyperlink w:history="1" r:id="rIdoptow_5hu9li9lldgwdaz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ProPublica Nonprofit Explorer</w:t>
        </w:r>
      </w:hyperlink>
      <w:r>
        <w:rPr>
          <w:rFonts w:ascii="Arial" w:cs="Arial" w:eastAsia="Arial" w:hAnsi="Arial"/>
          <w:sz w:val="16"/>
          <w:szCs w:val="16"/>
        </w:rPr>
        <w:t xml:space="preserve">. EIN 54-2061482.</w:t>
      </w:r>
    </w:p>
  </w:footnote>
  <w:footnote w:id="2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Marginal overhead at 40 percent of collections. Family medicine averages nearer 60 percent (</w:t>
      </w:r>
      <w:hyperlink w:history="1" r:id="rIdj9rrgqkszs49yvhojyuby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AAFP, Family Practice Management</w:t>
        </w:r>
      </w:hyperlink>
      <w:r>
        <w:rPr>
          <w:rFonts w:ascii="Arial" w:cs="Arial" w:eastAsia="Arial" w:hAnsi="Arial"/>
          <w:sz w:val="16"/>
          <w:szCs w:val="16"/>
        </w:rPr>
        <w:t xml:space="preserve">), but most of that is rent, records, management and front desk, which another session does not add to. Your own marginal figure would be better than my estimate.</w:t>
      </w:r>
    </w:p>
  </w:footnote>
  <w:footnote w:id="3">
    <w:p>
      <w:r>
        <w:rPr>
          <w:rStyle w:val="FootnoteReference"/>
        </w:rPr>
        <w:footnoteRef/>
      </w:r>
      <w:hyperlink w:history="1" r:id="rIdhnviqh03_rkbn5sofew5n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MGMA Provider Compensation, 2024 report on 2023 data</w:t>
        </w:r>
      </w:hyperlink>
      <w:r>
        <w:rPr>
          <w:rFonts w:ascii="Arial" w:cs="Arial" w:eastAsia="Arial" w:hAnsi="Arial"/>
          <w:sz w:val="16"/>
          <w:szCs w:val="16"/>
        </w:rPr>
        <w:t xml:space="preserve">. Primary care, all practices, 36,368 providers.</w:t>
      </w:r>
    </w:p>
  </w:footnote>
  <w:footnote w:id="4">
    <w:p>
      <w:r>
        <w:rPr>
          <w:rStyle w:val="FootnoteReference"/>
        </w:rPr>
        <w:footnoteRef/>
      </w:r>
      <w:hyperlink w:history="1" r:id="rId2f3jtv4c1poxou-u5-d7p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PSLF &amp; TEPSLF Certification &amp; Application</w:t>
        </w:r>
      </w:hyperlink>
      <w:r>
        <w:rPr>
          <w:rFonts w:ascii="Arial" w:cs="Arial" w:eastAsia="Arial" w:hAnsi="Arial"/>
          <w:sz w:val="16"/>
          <w:szCs w:val="16"/>
        </w:rPr>
        <w:t xml:space="preserve">, U.S. Department of Education. Section 7 and the Section 3 instructions.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a48cb314b99a72cf9391e1101e43b9895896cc6.png"/><Relationship Id="rId9" Type="http://schemas.openxmlformats.org/officeDocument/2006/relationships/image" Target="media/195e0f8ff16955befe9fb9443c0b16d633cb3a6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optow_5hu9li9lldgwdaz" Type="http://schemas.openxmlformats.org/officeDocument/2006/relationships/hyperlink" Target="https://projects.propublica.org/nonprofits/organizations/542061482" TargetMode="External"/><Relationship Id="rIdj9rrgqkszs49yvhojyuby" Type="http://schemas.openxmlformats.org/officeDocument/2006/relationships/hyperlink" Target="https://www.aafp.org/pubs/fpm/issues/2010/0300/p38.html" TargetMode="External"/><Relationship Id="rIdhnviqh03_rkbn5sofew5n" Type="http://schemas.openxmlformats.org/officeDocument/2006/relationships/hyperlink" Target="https://mgmatraining.com/wp-content/uploads/2025/01/ProviderSpecialtyRollUps2024.pdf" TargetMode="External"/><Relationship Id="rId2f3jtv4c1poxou-u5-d7p" Type="http://schemas.openxmlformats.org/officeDocument/2006/relationships/hyperlink" Target="https://studentaid.gov/sites/default/files/public-service-application-for-forgiven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2026-10-25T18:26:01.121Z</dcterms:created>
  <dcterms:modified xsi:type="dcterms:W3CDTF">2026-10-25T18:26:01.121Z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