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POSITION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role at 0.75 FTE, 30 hours per week annualized, at $41,500 a year. I would give the clinic my schedule a quarter at a time, as I do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SCHEDULE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We start at sixteen patients a day, which is 38 minutes a visit. If demand supports it we work up to twenty, which is 30 minutes. I would keep twelve weeks off.</w:t>
      </w:r>
    </w:p>
    <w:p>
      <w:pPr>
        <w:spacing w:after="40" w:line="240" w:lineRule="auto"/>
      </w:pPr>
      <w:r>
        <w:drawing>
          <wp:inline distT="0" distB="0" distL="0" distR="0">
            <wp:extent cx="6858000" cy="8477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IT COSTS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20 PATIENTS A DAY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Encounters a year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1,328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1,660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My cost per encounter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$34.06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$27.25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of collections 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38%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at $103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33%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26%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THE CLINIC KEEPS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After overhead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$2,573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$9,463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$14,525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$23,137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ONE REQUEST ABOUT WORDING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I am working toward Public Service Loan Forgiveness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 The form asks the clinic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667500" cy="74866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748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Overhead at 60 percent of collections. </w:t>
      </w:r>
      <w:hyperlink w:history="1" r:id="rIdara9qtdfam35ds-v2djb4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 (2010)</w:t>
        </w:r>
      </w:hyperlink>
      <w:r>
        <w:rPr>
          <w:rFonts w:ascii="Arial" w:cs="Arial" w:eastAsia="Arial" w:hAnsi="Arial"/>
          <w:sz w:val="16"/>
          <w:szCs w:val="16"/>
        </w:rPr>
        <w:t xml:space="preserve">, citing MGMA survey data.</w:t>
      </w:r>
    </w:p>
  </w:footnote>
  <w:footnote w:id="2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/>
      </w:r>
      <w:hyperlink w:history="1" r:id="rIdu7zc4nqkhcph2bvwfiwvp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a48cb314b99a72cf9391e1101e43b9895896cc6.png"/><Relationship Id="rId9" Type="http://schemas.openxmlformats.org/officeDocument/2006/relationships/image" Target="media/312494167de4078f0660632d61cbd023761152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ara9qtdfam35ds-v2djb4" Type="http://schemas.openxmlformats.org/officeDocument/2006/relationships/hyperlink" Target="https://www.aafp.org/pubs/fpm/issues/2010/0300/p38.html" TargetMode="External"/><Relationship Id="rIdu7zc4nqkhcph2bvwfiwvp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2026-10-25T16:51:05.565Z</dcterms:created>
  <dcterms:modified xsi:type="dcterms:W3CDTF">2026-10-25T16:51:05.575Z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