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40" w:lineRule="auto"/>
      </w:pPr>
      <w:r>
        <w:rPr>
          <w:rFonts w:ascii="Arial" w:cs="Arial" w:eastAsia="Arial" w:hAnsi="Arial"/>
          <w:b/>
          <w:bCs/>
          <w:color w:val="1D7A5C"/>
          <w:sz w:val="34"/>
          <w:szCs w:val="34"/>
        </w:rPr>
        <w:t xml:space="preserve">Proposal for a part-time salaried position</w:t>
      </w:r>
    </w:p>
    <w:p>
      <w:pPr>
        <w:spacing w:after="40" w:line="240" w:lineRule="auto"/>
      </w:pPr>
      <w:r>
        <w:rPr>
          <w:rFonts w:ascii="Arial" w:cs="Arial" w:eastAsia="Arial" w:hAnsi="Arial"/>
          <w:color w:val="5F6874"/>
          <w:sz w:val="22"/>
          <w:szCs w:val="22"/>
        </w:rPr>
        <w:t xml:space="preserve">Logan DuBose, MD</w:t>
      </w:r>
    </w:p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C47D20"/>
          <w:sz w:val="20"/>
          <w:szCs w:val="20"/>
        </w:rPr>
        <w:t xml:space="preserve">1   </w:t>
      </w: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THE PROPOSAL</w:t>
      </w:r>
    </w:p>
    <w:p>
      <w:pPr>
        <w:spacing w:after="150" w:line="264" w:lineRule="auto"/>
      </w:pPr>
      <w:r>
        <w:rPr>
          <w:rFonts w:ascii="Arial" w:cs="Arial" w:eastAsia="Arial" w:hAnsi="Arial"/>
          <w:sz w:val="21"/>
          <w:szCs w:val="21"/>
        </w:rPr>
        <w:t xml:space="preserve">A salaried part-time position at 0.75 FTE and $41,500 a year, beginning 1 June 2028. Until then we stay on the current hourly arrangement and use it to prove the economics work and the demand is there.</w:t>
      </w:r>
    </w:p>
    <w:p>
      <w:pPr>
        <w:spacing w:after="60" w:line="240" w:lineRule="auto"/>
      </w:pPr>
      <w:r>
        <w:drawing>
          <wp:inline distT="0" distB="0" distL="0" distR="0">
            <wp:extent cx="6858000" cy="11811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C47D20"/>
          <w:sz w:val="20"/>
          <w:szCs w:val="20"/>
        </w:rPr>
        <w:t xml:space="preserve">2   </w:t>
      </w: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WHAT THIS EARNS THE CLINIC</w:t>
      </w:r>
    </w:p>
    <w:p>
      <w:pPr>
        <w:spacing w:after="80" w:line="264" w:lineRule="auto"/>
      </w:pPr>
      <w:r>
        <w:rPr>
          <w:rFonts w:ascii="Arial" w:cs="Arial" w:eastAsia="Arial" w:hAnsi="Arial"/>
          <w:sz w:val="21"/>
          <w:szCs w:val="21"/>
        </w:rPr>
        <w:t xml:space="preserve">I cost $45,235 a year with payroll taxes. At sixteen patients a day that is 1,328 encounters, or $34 an encounter.</w:t>
      </w:r>
    </w:p>
    <w:p>
      <w:pPr>
        <w:spacing w:after="80" w:line="264" w:lineRule="auto"/>
      </w:pPr>
      <w:r>
        <w:rPr>
          <w:rFonts w:ascii="Arial" w:cs="Arial" w:eastAsia="Arial" w:hAnsi="Arial"/>
          <w:sz w:val="21"/>
          <w:szCs w:val="21"/>
        </w:rPr>
        <w:t xml:space="preserve">What the clinic would have to collect for the position to cover itself, after the overhead another session adds</w:t>
      </w:r>
      <w:r>
        <w:rPr>
          <w:rStyle w:val="FootnoteReference"/>
        </w:rPr>
        <w:footnoteReference w:id="1"/>
      </w:r>
      <w:r>
        <w:rPr>
          <w:rFonts w:ascii="Arial" w:cs="Arial" w:eastAsia="Arial" w:hAnsi="Arial"/>
          <w:sz w:val="21"/>
          <w:szCs w:val="21"/>
        </w:rPr>
        <w:t xml:space="preserve">: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900"/>
        <w:gridCol w:w="2900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1D7A5C" w:sz="8"/>
              <w:right w:val="none" w:color="FFFFFF" w:sz="0"/>
            </w:tcBorders>
            <w:tcMar>
              <w:top w:type="dxa" w:w="3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5F6874"/>
                <w:spacing w:val="20"/>
                <w:sz w:val="16"/>
                <w:szCs w:val="16"/>
              </w:rPr>
              <w:t xml:space="preserve"/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1D7A5C" w:sz="8"/>
              <w:right w:val="none" w:color="FFFFFF" w:sz="0"/>
            </w:tcBorders>
            <w:tcMar>
              <w:top w:type="dxa" w:w="3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5F6874"/>
                <w:spacing w:val="20"/>
                <w:sz w:val="16"/>
                <w:szCs w:val="16"/>
              </w:rPr>
              <w:t xml:space="preserve">COVERS ITSELF AT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1D7A5C" w:sz="8"/>
              <w:right w:val="none" w:color="FFFFFF" w:sz="0"/>
            </w:tcBorders>
            <w:tcMar>
              <w:top w:type="dxa" w:w="3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5F6874"/>
                <w:spacing w:val="20"/>
                <w:sz w:val="16"/>
                <w:szCs w:val="16"/>
              </w:rPr>
              <w:t xml:space="preserve">AT $90 A VISIT, AHEAD BY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16 patients a day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$57 a visit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$26,477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20 patients a day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$45 a visit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$44,405</w:t>
            </w:r>
          </w:p>
        </w:tc>
      </w:tr>
    </w:tbl>
    <w:p>
      <w:pPr>
        <w:spacing w:after="0" w:before="110" w:line="264" w:lineRule="auto"/>
      </w:pPr>
      <w:r>
        <w:rPr>
          <w:rFonts w:ascii="Arial" w:cs="Arial" w:eastAsia="Arial" w:hAnsi="Arial"/>
          <w:sz w:val="21"/>
          <w:szCs w:val="21"/>
        </w:rPr>
        <w:t xml:space="preserve">Last year's surplus was $21,133</w:t>
      </w:r>
      <w:r>
        <w:rPr>
          <w:rStyle w:val="FootnoteReference"/>
        </w:rPr>
        <w:footnoteReference w:id="2"/>
      </w:r>
      <w:r>
        <w:rPr>
          <w:rFonts w:ascii="Arial" w:cs="Arial" w:eastAsia="Arial" w:hAnsi="Arial"/>
          <w:sz w:val="21"/>
          <w:szCs w:val="21"/>
        </w:rPr>
        <w:t xml:space="preserve">. Median total compensation for a primary care physician is $312,427</w:t>
      </w:r>
      <w:r>
        <w:rPr>
          <w:rStyle w:val="FootnoteReference"/>
        </w:rPr>
        <w:footnoteReference w:id="3"/>
      </w:r>
      <w:r>
        <w:rPr>
          <w:rFonts w:ascii="Arial" w:cs="Arial" w:eastAsia="Arial" w:hAnsi="Arial"/>
          <w:sz w:val="21"/>
          <w:szCs w:val="21"/>
        </w:rPr>
        <w:t xml:space="preserve">. This role is $41,500.</w:t>
      </w:r>
    </w:p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C47D20"/>
          <w:sz w:val="20"/>
          <w:szCs w:val="20"/>
        </w:rPr>
        <w:t xml:space="preserve">3   </w:t>
      </w: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MY COMPENSATION AND SCHEDULE</w:t>
      </w:r>
    </w:p>
    <w:p>
      <w:pPr>
        <w:spacing w:after="150" w:line="264" w:lineRule="auto"/>
      </w:pPr>
      <w:r>
        <w:rPr>
          <w:rFonts w:ascii="Arial" w:cs="Arial" w:eastAsia="Arial" w:hAnsi="Arial"/>
          <w:sz w:val="21"/>
          <w:szCs w:val="21"/>
        </w:rPr>
        <w:t xml:space="preserve">What changes in June 2028 is the arrangement and the number of clinic days. The time off stays as it is.</w:t>
      </w:r>
    </w:p>
    <w:p>
      <w:pPr>
        <w:spacing w:after="120" w:line="240" w:lineRule="auto"/>
      </w:pPr>
      <w:r>
        <w:drawing>
          <wp:inline distT="0" distB="0" distL="0" distR="0">
            <wp:extent cx="6858000" cy="1628775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264" w:lineRule="auto"/>
      </w:pPr>
      <w:r>
        <w:rPr>
          <w:rFonts w:ascii="Arial" w:cs="Arial" w:eastAsia="Arial" w:hAnsi="Arial"/>
          <w:sz w:val="21"/>
          <w:szCs w:val="21"/>
        </w:rPr>
        <w:t xml:space="preserve">One request on the wording. I am working toward Public Service Loan Forgiveness</w:t>
      </w:r>
      <w:r>
        <w:rPr>
          <w:rStyle w:val="FootnoteReference"/>
        </w:rPr>
        <w:footnoteReference w:id="4"/>
      </w:r>
      <w:r>
        <w:rPr>
          <w:rFonts w:ascii="Arial" w:cs="Arial" w:eastAsia="Arial" w:hAnsi="Arial"/>
          <w:sz w:val="21"/>
          <w:szCs w:val="21"/>
        </w:rPr>
        <w:t xml:space="preserve">. The form asks you for my average hours per week, counting vacation and leave. Writing the contract as 0.75 FTE, 30 hours per week annualized gives that figure directly.</w:t>
      </w:r>
    </w:p>
    <w:p>
      <w:r>
        <w:br w:type="page"/>
      </w:r>
    </w:p>
    <w:p>
      <w:pPr>
        <w:spacing w:after="0" w:line="240" w:lineRule="auto"/>
      </w:pPr>
      <w:r>
        <w:drawing>
          <wp:inline distT="0" distB="0" distL="0" distR="0">
            <wp:extent cx="6858000" cy="548640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rId6"/>
      <w:pgSz w:w="12240" w:h="15840" w:orient="portrait"/>
      <w:pgMar w:top="720" w:right="720" w:bottom="65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5D1" w:sz="4" w:space="6"/>
      </w:pBdr>
      <w:tabs>
        <w:tab w:val="right" w:pos="9026"/>
      </w:tabs>
    </w:pPr>
    <w:r>
      <w:rPr>
        <w:rFonts w:ascii="Arial" w:cs="Arial" w:eastAsia="Arial" w:hAnsi="Arial"/>
        <w:color w:val="5F6874"/>
        <w:sz w:val="16"/>
        <w:szCs w:val="16"/>
      </w:rPr>
      <w:t xml:space="preserve">Logan DuBose, MD   ·   For discussion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5F6874"/>
        <w:sz w:val="16"/>
        <w:szCs w:val="16"/>
      </w:rPr>
      <w:t xml:space="preserve">Page </w:t>
    </w:r>
    <w:r>
      <w:rPr>
        <w:rFonts w:ascii="Arial" w:cs="Arial" w:eastAsia="Arial" w:hAnsi="Arial"/>
        <w:color w:val="5F6874"/>
        <w:sz w:val="16"/>
        <w:szCs w:val="16"/>
      </w:rPr>
      <w:fldChar w:fldCharType="begin"/>
    </w:r>
    <w:r>
      <w:rPr>
        <w:rFonts w:ascii="Arial" w:cs="Arial" w:eastAsia="Arial" w:hAnsi="Arial"/>
        <w:color w:val="5F6874"/>
        <w:sz w:val="16"/>
        <w:szCs w:val="16"/>
      </w:rPr>
      <w:instrText xml:space="preserve">PAGE</w:instrText>
    </w:r>
    <w:r>
      <w:rPr>
        <w:rFonts w:ascii="Arial" w:cs="Arial" w:eastAsia="Arial" w:hAnsi="Arial"/>
        <w:color w:val="5F6874"/>
        <w:sz w:val="16"/>
        <w:szCs w:val="16"/>
      </w:rPr>
      <w:fldChar w:fldCharType="separate"/>
    </w:r>
    <w:r>
      <w:rPr>
        <w:rFonts w:ascii="Arial" w:cs="Arial" w:eastAsia="Arial" w:hAnsi="Arial"/>
        <w:color w:val="5F6874"/>
        <w:sz w:val="16"/>
        <w:szCs w:val="16"/>
      </w:rPr>
      <w:fldChar w:fldCharType="end"/>
    </w:r>
    <w:r>
      <w:rPr>
        <w:rFonts w:ascii="Arial" w:cs="Arial" w:eastAsia="Arial" w:hAnsi="Arial"/>
        <w:color w:val="5F6874"/>
        <w:sz w:val="16"/>
        <w:szCs w:val="16"/>
      </w:rPr>
      <w:t xml:space="preserve"> of </w:t>
    </w:r>
    <w:r>
      <w:rPr>
        <w:rFonts w:ascii="Arial" w:cs="Arial" w:eastAsia="Arial" w:hAnsi="Arial"/>
        <w:color w:val="5F6874"/>
        <w:sz w:val="16"/>
        <w:szCs w:val="16"/>
      </w:rPr>
      <w:fldChar w:fldCharType="begin"/>
    </w:r>
    <w:r>
      <w:rPr>
        <w:rFonts w:ascii="Arial" w:cs="Arial" w:eastAsia="Arial" w:hAnsi="Arial"/>
        <w:color w:val="5F6874"/>
        <w:sz w:val="16"/>
        <w:szCs w:val="16"/>
      </w:rPr>
      <w:instrText xml:space="preserve">NUMPAGES</w:instrText>
    </w:r>
    <w:r>
      <w:rPr>
        <w:rFonts w:ascii="Arial" w:cs="Arial" w:eastAsia="Arial" w:hAnsi="Arial"/>
        <w:color w:val="5F6874"/>
        <w:sz w:val="16"/>
        <w:szCs w:val="16"/>
      </w:rPr>
      <w:fldChar w:fldCharType="separate"/>
    </w:r>
    <w:r>
      <w:rPr>
        <w:rFonts w:ascii="Arial" w:cs="Arial" w:eastAsia="Arial" w:hAnsi="Arial"/>
        <w:color w:val="5F6874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r>
        <w:rPr>
          <w:rStyle w:val="FootnoteReference"/>
        </w:rPr>
        <w:footnoteRef/>
      </w:r>
      <w:r>
        <w:rPr>
          <w:rFonts w:ascii="Arial" w:cs="Arial" w:eastAsia="Arial" w:hAnsi="Arial"/>
          <w:sz w:val="16"/>
          <w:szCs w:val="16"/>
        </w:rPr>
        <w:t xml:space="preserve">Overhead here is marginal, at 40 percent of collections. Family medicine averages nearer 60 percent (</w:t>
      </w:r>
      <w:hyperlink w:history="1" r:id="rIdvgjyp-8qwlhlvibehcudu">
        <w:r>
          <w:rPr>
            <w:rFonts w:ascii="Arial" w:cs="Arial" w:eastAsia="Arial" w:hAnsi="Arial"/>
            <w:color w:val="1D7A5C"/>
            <w:sz w:val="21"/>
            <w:szCs w:val="21"/>
            <w:u w:val="single"/>
          </w:rPr>
          <w:t xml:space="preserve">AAFP, Family Practice Management</w:t>
        </w:r>
      </w:hyperlink>
      <w:r>
        <w:rPr>
          <w:rFonts w:ascii="Arial" w:cs="Arial" w:eastAsia="Arial" w:hAnsi="Arial"/>
          <w:sz w:val="16"/>
          <w:szCs w:val="16"/>
        </w:rPr>
        <w:t xml:space="preserve">), but most of that is rent, records, management and front desk, which another session does not add to. Your own figure would be better than my estimate.</w:t>
      </w:r>
    </w:p>
  </w:footnote>
  <w:footnote w:id="2">
    <w:p>
      <w:r>
        <w:rPr>
          <w:rStyle w:val="FootnoteReference"/>
        </w:rPr>
        <w:footnoteRef/>
      </w:r>
      <w:r>
        <w:rPr>
          <w:rFonts w:ascii="Arial" w:cs="Arial" w:eastAsia="Arial" w:hAnsi="Arial"/>
          <w:sz w:val="16"/>
          <w:szCs w:val="16"/>
        </w:rPr>
        <w:t xml:space="preserve">IRS Form 990 for the year ending December 2024, as digitized by </w:t>
      </w:r>
      <w:hyperlink w:history="1" r:id="rIdvlfczkudhyv4c32n5jbhb">
        <w:r>
          <w:rPr>
            <w:rFonts w:ascii="Arial" w:cs="Arial" w:eastAsia="Arial" w:hAnsi="Arial"/>
            <w:color w:val="1D7A5C"/>
            <w:sz w:val="21"/>
            <w:szCs w:val="21"/>
            <w:u w:val="single"/>
          </w:rPr>
          <w:t xml:space="preserve">ProPublica Nonprofit Explorer</w:t>
        </w:r>
      </w:hyperlink>
      <w:r>
        <w:rPr>
          <w:rFonts w:ascii="Arial" w:cs="Arial" w:eastAsia="Arial" w:hAnsi="Arial"/>
          <w:sz w:val="16"/>
          <w:szCs w:val="16"/>
        </w:rPr>
        <w:t xml:space="preserve">. Revenue $1,643,163 against expenses $1,622,030.</w:t>
      </w:r>
    </w:p>
  </w:footnote>
  <w:footnote w:id="3">
    <w:p>
      <w:r>
        <w:rPr>
          <w:rStyle w:val="FootnoteReference"/>
        </w:rPr>
        <w:footnoteRef/>
      </w:r>
      <w:hyperlink w:history="1" r:id="rIdsmwirqlzjqjl8s-k5dlar">
        <w:r>
          <w:rPr>
            <w:rFonts w:ascii="Arial" w:cs="Arial" w:eastAsia="Arial" w:hAnsi="Arial"/>
            <w:color w:val="1D7A5C"/>
            <w:sz w:val="21"/>
            <w:szCs w:val="21"/>
            <w:u w:val="single"/>
          </w:rPr>
          <w:t xml:space="preserve">MGMA Provider Compensation, 2024 report on 2023 data</w:t>
        </w:r>
      </w:hyperlink>
      <w:r>
        <w:rPr>
          <w:rFonts w:ascii="Arial" w:cs="Arial" w:eastAsia="Arial" w:hAnsi="Arial"/>
          <w:sz w:val="16"/>
          <w:szCs w:val="16"/>
        </w:rPr>
        <w:t xml:space="preserve">. Primary care, all practices, 36,368 providers.</w:t>
      </w:r>
    </w:p>
  </w:footnote>
  <w:footnote w:id="4">
    <w:p>
      <w:r>
        <w:rPr>
          <w:rStyle w:val="FootnoteReference"/>
        </w:rPr>
        <w:footnoteRef/>
      </w:r>
      <w:hyperlink w:history="1" r:id="rIdmbdvodanfz15f853cthve">
        <w:r>
          <w:rPr>
            <w:rFonts w:ascii="Arial" w:cs="Arial" w:eastAsia="Arial" w:hAnsi="Arial"/>
            <w:color w:val="1D7A5C"/>
            <w:sz w:val="21"/>
            <w:szCs w:val="21"/>
            <w:u w:val="single"/>
          </w:rPr>
          <w:t xml:space="preserve">PSLF &amp; TEPSLF Certification &amp; Application</w:t>
        </w:r>
      </w:hyperlink>
      <w:r>
        <w:rPr>
          <w:rFonts w:ascii="Arial" w:cs="Arial" w:eastAsia="Arial" w:hAnsi="Arial"/>
          <w:sz w:val="16"/>
          <w:szCs w:val="16"/>
        </w:rPr>
        <w:t xml:space="preserve">, U.S. Department of Education. Section 7 and the Section 3 instructions.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193d54a1bca17122fafac6ed191f63dc86c8949d.png"/><Relationship Id="rId9" Type="http://schemas.openxmlformats.org/officeDocument/2006/relationships/image" Target="media/a15aad7cc15e86bce6878e52005fad3e2b4b99fd.png"/><Relationship Id="rId10" Type="http://schemas.openxmlformats.org/officeDocument/2006/relationships/image" Target="media/195e0f8ff16955befe9fb9443c0b16d633cb3a62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><Relationship Id="rIdvgjyp-8qwlhlvibehcudu" Type="http://schemas.openxmlformats.org/officeDocument/2006/relationships/hyperlink" Target="https://www.aafp.org/pubs/fpm/issues/2010/0300/p38.html" TargetMode="External"/><Relationship Id="rIdvlfczkudhyv4c32n5jbhb" Type="http://schemas.openxmlformats.org/officeDocument/2006/relationships/hyperlink" Target="https://projects.propublica.org/nonprofits/organizations/542061482" TargetMode="External"/><Relationship Id="rIdsmwirqlzjqjl8s-k5dlar" Type="http://schemas.openxmlformats.org/officeDocument/2006/relationships/hyperlink" Target="https://mgmatraining.com/wp-content/uploads/2025/01/ProviderSpecialtyRollUps2024.pdf" TargetMode="External"/><Relationship Id="rIdmbdvodanfz15f853cthve" Type="http://schemas.openxmlformats.org/officeDocument/2006/relationships/hyperlink" Target="https://studentaid.gov/sites/default/files/public-service-application-for-forgivenes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2026-10-25T19:06:10.229Z</dcterms:created>
  <dcterms:modified xsi:type="dcterms:W3CDTF">2026-10-25T19:06:10.229Z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