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</w:pPr>
      <w:r>
        <w:rPr>
          <w:rFonts w:ascii="Arial" w:cs="Arial" w:eastAsia="Arial" w:hAnsi="Arial"/>
          <w:b/>
          <w:bCs/>
          <w:color w:val="1D7A5C"/>
          <w:sz w:val="34"/>
          <w:szCs w:val="34"/>
        </w:rPr>
        <w:t xml:space="preserve">Proposal for a part-time salaried position</w:t>
      </w:r>
    </w:p>
    <w:p>
      <w:pPr>
        <w:spacing w:after="40" w:line="240" w:lineRule="auto"/>
      </w:pPr>
      <w:r>
        <w:rPr>
          <w:rFonts w:ascii="Arial" w:cs="Arial" w:eastAsia="Arial" w:hAnsi="Arial"/>
          <w:color w:val="5F6874"/>
          <w:sz w:val="22"/>
          <w:szCs w:val="22"/>
        </w:rPr>
        <w:t xml:space="preserve">Logan DuBose, MD</w:t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1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THE PROPOSAL</w:t>
      </w:r>
    </w:p>
    <w:p>
      <w:pPr>
        <w:spacing w:after="150" w:line="264" w:lineRule="auto"/>
      </w:pPr>
      <w:r>
        <w:rPr>
          <w:rFonts w:ascii="Arial" w:cs="Arial" w:eastAsia="Arial" w:hAnsi="Arial"/>
          <w:sz w:val="21"/>
          <w:szCs w:val="21"/>
        </w:rPr>
        <w:t xml:space="preserve">A salaried part-time position at 0.75 FTE and $41,500 a year, beginning 1 June 2028. Until then we stay on the current hourly arrangement and use it to prove the economics work and the demand is there.</w:t>
      </w:r>
    </w:p>
    <w:p>
      <w:pPr>
        <w:spacing w:after="60" w:line="240" w:lineRule="auto"/>
      </w:pPr>
      <w:r>
        <w:drawing>
          <wp:inline distT="0" distB="0" distL="0" distR="0">
            <wp:extent cx="6858000" cy="14954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49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C47D20"/>
          <w:sz w:val="20"/>
          <w:szCs w:val="20"/>
        </w:rPr>
        <w:t xml:space="preserve">2   </w:t>
      </w: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MY COMPENSATION AND SCHEDULE</w:t>
      </w:r>
    </w:p>
    <w:p>
      <w:pPr>
        <w:spacing w:after="140" w:line="240" w:lineRule="auto"/>
      </w:pPr>
      <w:r>
        <w:drawing>
          <wp:inline distT="0" distB="0" distL="0" distR="0">
            <wp:extent cx="6858000" cy="216217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264" w:lineRule="auto"/>
      </w:pPr>
      <w:r>
        <w:rPr>
          <w:rFonts w:ascii="Arial" w:cs="Arial" w:eastAsia="Arial" w:hAnsi="Arial"/>
          <w:sz w:val="21"/>
          <w:szCs w:val="21"/>
        </w:rPr>
        <w:t xml:space="preserve">The salary is $41,500 a year, or $45,235 with payroll taxes. Median total compensation for a primary care physician is $312,427</w:t>
      </w:r>
      <w:r>
        <w:rPr>
          <w:rStyle w:val="FootnoteReference"/>
        </w:rPr>
        <w:footnoteReference w:id="1"/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r>
        <w:br w:type="page"/>
      </w:r>
    </w:p>
    <w:p>
      <w:pPr>
        <w:spacing w:after="0" w:line="240" w:lineRule="auto"/>
      </w:pPr>
      <w:r>
        <w:drawing>
          <wp:inline distT="0" distB="0" distL="0" distR="0">
            <wp:extent cx="6858000" cy="548640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6"/>
      <w:pgSz w:w="12240" w:h="15840" w:orient="portrait"/>
      <w:pgMar w:top="720" w:right="720" w:bottom="65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5D1" w:sz="4" w:space="6"/>
      </w:pBdr>
      <w:tabs>
        <w:tab w:val="right" w:pos="9026"/>
      </w:tabs>
    </w:pPr>
    <w:r>
      <w:rPr>
        <w:rFonts w:ascii="Arial" w:cs="Arial" w:eastAsia="Arial" w:hAnsi="Arial"/>
        <w:color w:val="5F6874"/>
        <w:sz w:val="16"/>
        <w:szCs w:val="16"/>
      </w:rPr>
      <w:t xml:space="preserve">Logan DuBose, MD   ·   For discussion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5F6874"/>
        <w:sz w:val="16"/>
        <w:szCs w:val="16"/>
      </w:rPr>
      <w:t xml:space="preserve">Page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PAGE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  <w:r>
      <w:rPr>
        <w:rFonts w:ascii="Arial" w:cs="Arial" w:eastAsia="Arial" w:hAnsi="Arial"/>
        <w:color w:val="5F6874"/>
        <w:sz w:val="16"/>
        <w:szCs w:val="16"/>
      </w:rPr>
      <w:t xml:space="preserve"> of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  <w:footnote w:id="1">
    <w:p>
      <w:r>
        <w:rPr>
          <w:rStyle w:val="FootnoteReference"/>
        </w:rPr>
        <w:footnoteRef/>
      </w:r>
      <w:hyperlink w:history="1" r:id="rIdsusp3cbkcfco716bgb-or">
        <w:r>
          <w:rPr>
            <w:rFonts w:ascii="Arial" w:cs="Arial" w:eastAsia="Arial" w:hAnsi="Arial"/>
            <w:color w:val="1D7A5C"/>
            <w:sz w:val="21"/>
            <w:szCs w:val="21"/>
            <w:u w:val="single"/>
          </w:rPr>
          <w:t xml:space="preserve">MGMA Provider Compensation, 2024 report on 2023 data</w:t>
        </w:r>
      </w:hyperlink>
      <w:r>
        <w:rPr>
          <w:rFonts w:ascii="Arial" w:cs="Arial" w:eastAsia="Arial" w:hAnsi="Arial"/>
          <w:sz w:val="16"/>
          <w:szCs w:val="16"/>
        </w:rPr>
        <w:t xml:space="preserve">. Primary care, all practices, 36,368 providers.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2685c6313dc25865639d1c94499cd33469c1b578.png"/><Relationship Id="rId9" Type="http://schemas.openxmlformats.org/officeDocument/2006/relationships/image" Target="media/a0f1ded537b2aa73d6522407574bac0d34429805.png"/><Relationship Id="rId10" Type="http://schemas.openxmlformats.org/officeDocument/2006/relationships/image" Target="media/ee02aaa7df9e93e0ce684e44259ccbd6ad60245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><Relationship Id="rIdsusp3cbkcfco716bgb-or" Type="http://schemas.openxmlformats.org/officeDocument/2006/relationships/hyperlink" Target="https://mgmatraining.com/wp-content/uploads/2025/01/ProviderSpecialtyRollUps2024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2026-10-25T19:18:08.909Z</dcterms:created>
  <dcterms:modified xsi:type="dcterms:W3CDTF">2026-10-25T19:18:08.910Z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