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salaried position</w:t>
      </w:r>
    </w:p>
    <w:p>
      <w:pPr>
        <w:spacing w:after="4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POSITION</w:t>
      </w:r>
    </w:p>
    <w:p>
      <w:pPr>
        <w:spacing w:after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A salaried role at 0.75 FTE, 30 hours per week annualized, at $41,500 a year. I would give the clinic my schedule a quarter at a time, as I do now.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SCHEDULE</w:t>
      </w:r>
    </w:p>
    <w:p>
      <w:pPr>
        <w:spacing w:after="130" w:line="264" w:lineRule="auto"/>
      </w:pPr>
      <w:r>
        <w:rPr>
          <w:rFonts w:ascii="Arial" w:cs="Arial" w:eastAsia="Arial" w:hAnsi="Arial"/>
          <w:sz w:val="21"/>
          <w:szCs w:val="21"/>
        </w:rPr>
        <w:t xml:space="preserve">About 83 clinic days a year, roughly two a week, at ten hours each. We start at sixteen patients a day, which is 38 minutes a visit. If demand supports it we work up to twenty, which is 30 minutes. I would keep twelve weeks off.</w:t>
      </w:r>
    </w:p>
    <w:p>
      <w:pPr>
        <w:spacing w:after="40" w:line="240" w:lineRule="auto"/>
      </w:pPr>
      <w:r>
        <w:drawing>
          <wp:inline distT="0" distB="0" distL="0" distR="0">
            <wp:extent cx="6858000" cy="8477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IT COSTS THE CLINIC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$41,500, or $45,235 with payroll taxes.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20 PATIENTS A DAY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Encounters a year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1,328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1,660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My cost per encounter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$34.06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$27.25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Share of collections 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38%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30%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Share at $103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33%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26%</w:t>
            </w:r>
          </w:p>
        </w:tc>
      </w:tr>
    </w:tbl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THE CLINIC KEEPS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After overhead</w:t>
      </w:r>
      <w:r>
        <w:rPr>
          <w:rStyle w:val="FootnoteReference"/>
        </w:rPr>
        <w:footnoteReference w:id="1"/>
      </w:r>
      <w:r>
        <w:rPr>
          <w:rFonts w:ascii="Arial" w:cs="Arial" w:eastAsia="Arial" w:hAnsi="Arial"/>
          <w:sz w:val="21"/>
          <w:szCs w:val="21"/>
        </w:rPr>
        <w:t xml:space="preserve"> and after paying me: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$103 A VISIT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$2,573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$9,463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$14,525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$23,137</w:t>
            </w:r>
          </w:p>
        </w:tc>
      </w:tr>
    </w:tbl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ONE REQUEST ABOUT WORDING</w:t>
      </w:r>
    </w:p>
    <w:p>
      <w:pPr>
        <w:spacing w:after="0" w:line="264" w:lineRule="auto"/>
      </w:pPr>
      <w:r>
        <w:rPr>
          <w:rFonts w:ascii="Arial" w:cs="Arial" w:eastAsia="Arial" w:hAnsi="Arial"/>
          <w:sz w:val="21"/>
          <w:szCs w:val="21"/>
        </w:rPr>
        <w:t xml:space="preserve">I am working toward Public Service Loan Forgiveness</w:t>
      </w:r>
      <w:r>
        <w:rPr>
          <w:rStyle w:val="FootnoteReference"/>
        </w:rPr>
        <w:footnoteReference w:id="2"/>
      </w:r>
      <w:r>
        <w:rPr>
          <w:rFonts w:ascii="Arial" w:cs="Arial" w:eastAsia="Arial" w:hAnsi="Arial"/>
          <w:sz w:val="21"/>
          <w:szCs w:val="21"/>
        </w:rPr>
        <w:t xml:space="preserve">. The form asks the clinic for my average hours per week, counting vacation and leave. Writing the contract as 0.75 FTE, 30 hours per week annualized gives that figure directly.</w:t>
      </w:r>
    </w:p>
    <w:p>
      <w:r>
        <w:br w:type="page"/>
      </w:r>
    </w:p>
    <w:p>
      <w:pPr>
        <w:spacing w:after="0" w:line="240" w:lineRule="auto"/>
      </w:pPr>
      <w:r>
        <w:drawing>
          <wp:inline distT="0" distB="0" distL="0" distR="0">
            <wp:extent cx="6858000" cy="54864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Overhead at 60 percent of collections. </w:t>
      </w:r>
      <w:hyperlink w:history="1" r:id="rId_kddolcp8m_dbdnrkyso1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AAFP, Family Practice Management (2010)</w:t>
        </w:r>
      </w:hyperlink>
      <w:r>
        <w:rPr>
          <w:rFonts w:ascii="Arial" w:cs="Arial" w:eastAsia="Arial" w:hAnsi="Arial"/>
          <w:sz w:val="16"/>
          <w:szCs w:val="16"/>
        </w:rPr>
        <w:t xml:space="preserve">, citing MGMA survey data.</w:t>
      </w:r>
    </w:p>
  </w:footnote>
  <w:footnote w:id="2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/>
      </w:r>
      <w:hyperlink w:history="1" r:id="rIdmuw21fgc0-amqvn95vl_b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PSLF &amp; TEPSLF Certification &amp; Application</w:t>
        </w:r>
      </w:hyperlink>
      <w:r>
        <w:rPr>
          <w:rFonts w:ascii="Arial" w:cs="Arial" w:eastAsia="Arial" w:hAnsi="Arial"/>
          <w:sz w:val="16"/>
          <w:szCs w:val="16"/>
        </w:rPr>
        <w:t xml:space="preserve">, U.S. Department of Education. Section 7 and the Section 3 instructions.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a48cb314b99a72cf9391e1101e43b9895896cc6.png"/><Relationship Id="rId9" Type="http://schemas.openxmlformats.org/officeDocument/2006/relationships/image" Target="media/195e0f8ff16955befe9fb9443c0b16d633cb3a6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Id="rId_kddolcp8m_dbdnrkyso1" Type="http://schemas.openxmlformats.org/officeDocument/2006/relationships/hyperlink" Target="https://www.aafp.org/pubs/fpm/issues/2010/0300/p38.html" TargetMode="External"/><Relationship Id="rIdmuw21fgc0-amqvn95vl_b" Type="http://schemas.openxmlformats.org/officeDocument/2006/relationships/hyperlink" Target="https://studentaid.gov/sites/default/files/public-service-application-for-forgivenes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2026-10-25T16:56:03.249Z</dcterms:created>
  <dcterms:modified xsi:type="dcterms:W3CDTF">2026-10-25T16:56:03.249Z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