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E9901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---</w:t>
      </w:r>
    </w:p>
    <w:p w14:paraId="0030A7CA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layout: page</w:t>
      </w:r>
    </w:p>
    <w:p w14:paraId="65A19D90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title: "Healthcare Data Breach Analysis: Legal, Ethical, and Security Failures"</w:t>
      </w:r>
    </w:p>
    <w:p w14:paraId="04268B76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permalink: /projects/healthcare-breach-analysis/</w:t>
      </w:r>
    </w:p>
    <w:p w14:paraId="55C0F02D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description: "Analysis of a real healthcare data breach examining security failures, legal compliance gaps, ethical responsibilities, and industry standards."</w:t>
      </w:r>
    </w:p>
    <w:p w14:paraId="65CAE508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---</w:t>
      </w:r>
    </w:p>
    <w:p w14:paraId="33C15952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1B8C6A78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## Overview</w:t>
      </w:r>
    </w:p>
    <w:p w14:paraId="74DD429A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6750F2F2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 xml:space="preserve">This project analyzes a **real-world healthcare data breach** to examine how failures in cybersecurity controls, monitoring, and governance can lead to significant legal, ethical, and societal consequences. The analysis applies core cybersecurity </w:t>
      </w:r>
      <w:proofErr w:type="gramStart"/>
      <w:r w:rsidRPr="00E277A6">
        <w:rPr>
          <w:rFonts w:eastAsia="Times New Roman"/>
          <w:kern w:val="0"/>
          <w14:ligatures w14:val="none"/>
        </w:rPr>
        <w:t>principles—*</w:t>
      </w:r>
      <w:proofErr w:type="gramEnd"/>
      <w:r w:rsidRPr="00E277A6">
        <w:rPr>
          <w:rFonts w:eastAsia="Times New Roman"/>
          <w:kern w:val="0"/>
          <w14:ligatures w14:val="none"/>
        </w:rPr>
        <w:t>*confidentiality, integrity, availability, and accountability</w:t>
      </w:r>
      <w:proofErr w:type="gramStart"/>
      <w:r w:rsidRPr="00E277A6">
        <w:rPr>
          <w:rFonts w:eastAsia="Times New Roman"/>
          <w:kern w:val="0"/>
          <w14:ligatures w14:val="none"/>
        </w:rPr>
        <w:t>**—</w:t>
      </w:r>
      <w:proofErr w:type="gramEnd"/>
      <w:r w:rsidRPr="00E277A6">
        <w:rPr>
          <w:rFonts w:eastAsia="Times New Roman"/>
          <w:kern w:val="0"/>
          <w14:ligatures w14:val="none"/>
        </w:rPr>
        <w:t>to evaluate how the incident occurred, why it went undetected, and how it could have been prevented.</w:t>
      </w:r>
    </w:p>
    <w:p w14:paraId="2785286C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3A6C9066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The goal of this project was to connect **technical security failures** with **legal obligations and ethical responsibility**, demonstrating how cybersecurity decisions directly impact patient trust and organizational risk.</w:t>
      </w:r>
    </w:p>
    <w:p w14:paraId="71EC78BC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17E0C2C7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---</w:t>
      </w:r>
    </w:p>
    <w:p w14:paraId="249D1726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398DD1E4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## Incident Summary</w:t>
      </w:r>
    </w:p>
    <w:p w14:paraId="10B9DD71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4570E1B6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The incident involved a healthcare organization whose email systems were compromised over an extended period, resulting in unauthorized access to sensitive patient data. Approximately **21,000 patient records** were exposed, including:</w:t>
      </w:r>
    </w:p>
    <w:p w14:paraId="168FDCA9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2810F532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 xml:space="preserve">- Names and addresses  </w:t>
      </w:r>
    </w:p>
    <w:p w14:paraId="2D9B42AD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 xml:space="preserve">- Dates of birth  </w:t>
      </w:r>
    </w:p>
    <w:p w14:paraId="3859B393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 xml:space="preserve">- Social Security numbers  </w:t>
      </w:r>
    </w:p>
    <w:p w14:paraId="644AE83D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 xml:space="preserve">- Medical diagnoses and treatment information  </w:t>
      </w:r>
    </w:p>
    <w:p w14:paraId="28BC6432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 xml:space="preserve">- Prescription and discharge data  </w:t>
      </w:r>
    </w:p>
    <w:p w14:paraId="5E5CAB8D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242E34D0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The breach remained undetected for nearly a month before being identified, increasing both the scope of exposure and the potential harm to affected individuals.</w:t>
      </w:r>
    </w:p>
    <w:p w14:paraId="1BACDB51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51667E67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---</w:t>
      </w:r>
    </w:p>
    <w:p w14:paraId="640C164C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3EC05C7E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## Security Failures Identified</w:t>
      </w:r>
    </w:p>
    <w:p w14:paraId="74A9236A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17C08AF4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The analysis revealed several critical security breakdowns:</w:t>
      </w:r>
    </w:p>
    <w:p w14:paraId="509F666A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0E28DE0E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### Detection &amp; Monitoring</w:t>
      </w:r>
    </w:p>
    <w:p w14:paraId="50DB87FE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- Lack of continuous monitoring allowed attackers to maintain access undetected</w:t>
      </w:r>
    </w:p>
    <w:p w14:paraId="10FCEB00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- Absence of centralized logging reduced visibility into abnormal activity</w:t>
      </w:r>
    </w:p>
    <w:p w14:paraId="51D01CAA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37E89268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### Access Controls</w:t>
      </w:r>
    </w:p>
    <w:p w14:paraId="704561CA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- Insufficient authentication protections increased the risk of credential compromise</w:t>
      </w:r>
    </w:p>
    <w:p w14:paraId="30C5838F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- Lack of multi-factor authentication for sensitive systems</w:t>
      </w:r>
    </w:p>
    <w:p w14:paraId="2454E47C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67CE3339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### Incident Response</w:t>
      </w:r>
    </w:p>
    <w:p w14:paraId="6C900B2A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- Delayed detection extended attacker dwell time</w:t>
      </w:r>
    </w:p>
    <w:p w14:paraId="6D0934F4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- Inadequate response planning limited rapid containment</w:t>
      </w:r>
    </w:p>
    <w:p w14:paraId="154167A9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09326AFB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These failures highlight the risks of relying on **compliance-focused controls** rather than proactive security practices.</w:t>
      </w:r>
    </w:p>
    <w:p w14:paraId="6E3ED594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7B948A05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---</w:t>
      </w:r>
    </w:p>
    <w:p w14:paraId="0C7FDA61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1FE978C2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## Legal &amp; Regulatory Impact</w:t>
      </w:r>
    </w:p>
    <w:p w14:paraId="5ACA62D2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213E02E9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The organization was subject to multiple legal obligations at the time of the breach, including:</w:t>
      </w:r>
    </w:p>
    <w:p w14:paraId="63025858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6C040E8B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 xml:space="preserve">- **HIPAA Security Rule** requirements for administrative, technical, and physical safeguards  </w:t>
      </w:r>
    </w:p>
    <w:p w14:paraId="72AEDDE2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 xml:space="preserve">- **FTC guidance** mandating reasonable data protection practices  </w:t>
      </w:r>
    </w:p>
    <w:p w14:paraId="39831CD1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 xml:space="preserve">- Breach notification requirements under healthcare regulations  </w:t>
      </w:r>
    </w:p>
    <w:p w14:paraId="75F53F2F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5C85F64B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The prolonged unauthorized access and delayed detection exposed the organization to **regulatory penalties, litigation, and reputational damage**, emphasizing the importance of continuous monitoring and timely incident response.</w:t>
      </w:r>
    </w:p>
    <w:p w14:paraId="1A467DC8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1D540FAA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---</w:t>
      </w:r>
    </w:p>
    <w:p w14:paraId="3CE9B477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6CBD0C8C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## Ethical Considerations</w:t>
      </w:r>
    </w:p>
    <w:p w14:paraId="2B975677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67DCD397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Beyond legal compliance, the breach raised serious ethical concerns:</w:t>
      </w:r>
    </w:p>
    <w:p w14:paraId="1DAE492F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423A572E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 xml:space="preserve">- Failure to proactively protect highly sensitive patient data  </w:t>
      </w:r>
    </w:p>
    <w:p w14:paraId="532F6803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 xml:space="preserve">- Insufficient transparency in post-breach communication  </w:t>
      </w:r>
    </w:p>
    <w:p w14:paraId="5CB60EEF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 xml:space="preserve">- Extended exposure increased risk of identity theft and personal harm  </w:t>
      </w:r>
    </w:p>
    <w:p w14:paraId="4F67CA7A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5BCF9A7D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Healthcare organizations hold a unique ethical responsibility to safeguard patient information. In this case, delayed detection and unclear communication undermined patient trust and violated expectations of responsible data stewardship.</w:t>
      </w:r>
    </w:p>
    <w:p w14:paraId="46668407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65E3D97B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---</w:t>
      </w:r>
    </w:p>
    <w:p w14:paraId="711B34D3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3BC66722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## Societal &amp; Cultural Impact</w:t>
      </w:r>
    </w:p>
    <w:p w14:paraId="456F4D28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59EFCE26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The breach had effects beyond the organization itself:</w:t>
      </w:r>
    </w:p>
    <w:p w14:paraId="5FC460BE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0BC04A2B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lastRenderedPageBreak/>
        <w:t xml:space="preserve">- Erosion of patient trust in digital healthcare systems  </w:t>
      </w:r>
    </w:p>
    <w:p w14:paraId="6AEA11BC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 xml:space="preserve">- Increased reluctance to share sensitive medical information  </w:t>
      </w:r>
    </w:p>
    <w:p w14:paraId="30B74964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 xml:space="preserve">- Heightened public skepticism toward large healthcare institutions  </w:t>
      </w:r>
    </w:p>
    <w:p w14:paraId="028750FB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1C3A63E2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These cultural impacts demonstrate that cybersecurity incidents are not purely technical events — they influence how individuals engage with healthcare, technology, and data-driven services.</w:t>
      </w:r>
    </w:p>
    <w:p w14:paraId="07169F83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09F216DF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---</w:t>
      </w:r>
    </w:p>
    <w:p w14:paraId="276417EB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45F660F9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## Standards &amp; Framework Alignment</w:t>
      </w:r>
    </w:p>
    <w:p w14:paraId="17F2F8B1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5F3B55AC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The analysis evaluated the organization’s security posture against recognized standards, including:</w:t>
      </w:r>
    </w:p>
    <w:p w14:paraId="02528A3E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338E2F6F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 xml:space="preserve">- **HIPAA Security Rule**  </w:t>
      </w:r>
    </w:p>
    <w:p w14:paraId="70BE9708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 xml:space="preserve">- **NIST SP 800-53** (Security &amp; Privacy Controls)  </w:t>
      </w:r>
    </w:p>
    <w:p w14:paraId="5AB4F95A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 xml:space="preserve">- **NIST SP 800-61** (Incident Response)  </w:t>
      </w:r>
    </w:p>
    <w:p w14:paraId="6BCEDDD1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 xml:space="preserve">- **ISO/IEC 27001** (Information Security Management)  </w:t>
      </w:r>
    </w:p>
    <w:p w14:paraId="7A2078E2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 xml:space="preserve">- **GDPR principles** for breach notification and accountability  </w:t>
      </w:r>
    </w:p>
    <w:p w14:paraId="4ACA6DE9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52E76E91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Alignment with these frameworks could have significantly reduced breach duration and impact.</w:t>
      </w:r>
    </w:p>
    <w:p w14:paraId="1389923C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1FBBCE4F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---</w:t>
      </w:r>
    </w:p>
    <w:p w14:paraId="02E65D42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5A945510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## Recommendations for Improvement</w:t>
      </w:r>
    </w:p>
    <w:p w14:paraId="0790277A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40472393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Key recommendations included:</w:t>
      </w:r>
    </w:p>
    <w:p w14:paraId="042C9759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3DB6D5BF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 xml:space="preserve">- Implement continuous monitoring and SIEM-based detection  </w:t>
      </w:r>
    </w:p>
    <w:p w14:paraId="2A32E4DE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 xml:space="preserve">- Enforce multi-factor authentication for privileged access  </w:t>
      </w:r>
    </w:p>
    <w:p w14:paraId="7D82E260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 xml:space="preserve">- Regularly test incident response and recovery procedures  </w:t>
      </w:r>
    </w:p>
    <w:p w14:paraId="213372E4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 xml:space="preserve">- Conduct ongoing security awareness training  </w:t>
      </w:r>
    </w:p>
    <w:p w14:paraId="4DCB4B9A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 xml:space="preserve">- Adopt recognized security frameworks beyond minimum compliance  </w:t>
      </w:r>
    </w:p>
    <w:p w14:paraId="0B202452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6B1E1B4E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These measures emphasize **prevention, early detection, and accountability**.</w:t>
      </w:r>
    </w:p>
    <w:p w14:paraId="7D0A5E0B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11C6BC9E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---</w:t>
      </w:r>
    </w:p>
    <w:p w14:paraId="103EAD2D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4F865E87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## Skills Demonstrated</w:t>
      </w:r>
    </w:p>
    <w:p w14:paraId="70E5504F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2846DCCA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 xml:space="preserve">- Incident and breach analysis  </w:t>
      </w:r>
    </w:p>
    <w:p w14:paraId="4190EF0D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 xml:space="preserve">- HIPAA and healthcare security requirements  </w:t>
      </w:r>
    </w:p>
    <w:p w14:paraId="702F8C01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 xml:space="preserve">- Cyber law and ethics  </w:t>
      </w:r>
    </w:p>
    <w:p w14:paraId="6B1AEABC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 xml:space="preserve">- Risk assessment and mitigation  </w:t>
      </w:r>
    </w:p>
    <w:p w14:paraId="02AC2F8D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 xml:space="preserve">- Security standards evaluation  </w:t>
      </w:r>
    </w:p>
    <w:p w14:paraId="22A8F470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 xml:space="preserve">- Communicating technical </w:t>
      </w:r>
      <w:proofErr w:type="gramStart"/>
      <w:r w:rsidRPr="00E277A6">
        <w:rPr>
          <w:rFonts w:eastAsia="Times New Roman"/>
          <w:kern w:val="0"/>
          <w14:ligatures w14:val="none"/>
        </w:rPr>
        <w:t>risk</w:t>
      </w:r>
      <w:proofErr w:type="gramEnd"/>
      <w:r w:rsidRPr="00E277A6">
        <w:rPr>
          <w:rFonts w:eastAsia="Times New Roman"/>
          <w:kern w:val="0"/>
          <w14:ligatures w14:val="none"/>
        </w:rPr>
        <w:t xml:space="preserve"> to non-technical stakeholders  </w:t>
      </w:r>
    </w:p>
    <w:p w14:paraId="46B639B7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57D107D5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---</w:t>
      </w:r>
    </w:p>
    <w:p w14:paraId="092654DE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1E927E00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## Outcome &amp; Learning Value</w:t>
      </w:r>
    </w:p>
    <w:p w14:paraId="74F88610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7D3BF943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This project demonstrates how **security controls, legal compliance, and ethics are inseparable** in healthcare cybersecurity. It highlights the importance of proactive defense, transparent communication, and continuous improvement to protect patient data and maintain public trust.</w:t>
      </w:r>
    </w:p>
    <w:p w14:paraId="00D67D73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3F974CDD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---</w:t>
      </w:r>
    </w:p>
    <w:p w14:paraId="2A6C9AF2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238100FF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## Download</w:t>
      </w:r>
    </w:p>
    <w:p w14:paraId="270FEA44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289AEBF3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ascii="Segoe UI Emoji" w:eastAsia="Times New Roman" w:hAnsi="Segoe UI Emoji" w:cs="Segoe UI Emoji"/>
          <w:kern w:val="0"/>
          <w14:ligatures w14:val="none"/>
        </w:rPr>
        <w:t>📄</w:t>
      </w:r>
      <w:r w:rsidRPr="00E277A6">
        <w:rPr>
          <w:rFonts w:eastAsia="Times New Roman"/>
          <w:kern w:val="0"/>
          <w14:ligatures w14:val="none"/>
        </w:rPr>
        <w:t xml:space="preserve"> **/assets/Healthcare_Data_Breach_Analysis_Logan_Goodwin.pdf**</w:t>
      </w:r>
    </w:p>
    <w:p w14:paraId="5A5A9A6C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60E31692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---</w:t>
      </w:r>
    </w:p>
    <w:p w14:paraId="02E5CA1E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448783AA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## Related Projects</w:t>
      </w:r>
    </w:p>
    <w:p w14:paraId="1DD2F564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411CC5A2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-</w:t>
      </w:r>
      <w:proofErr w:type="gramStart"/>
      <w:r w:rsidRPr="00E277A6">
        <w:rPr>
          <w:rFonts w:eastAsia="Times New Roman"/>
          <w:kern w:val="0"/>
          <w14:ligatures w14:val="none"/>
        </w:rPr>
        <w:t xml:space="preserve"> ..</w:t>
      </w:r>
      <w:proofErr w:type="gramEnd"/>
      <w:r w:rsidRPr="00E277A6">
        <w:rPr>
          <w:rFonts w:eastAsia="Times New Roman"/>
          <w:kern w:val="0"/>
          <w14:ligatures w14:val="none"/>
        </w:rPr>
        <w:t>/information-assurance/</w:t>
      </w:r>
    </w:p>
    <w:p w14:paraId="07D6BC8F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-</w:t>
      </w:r>
      <w:proofErr w:type="gramStart"/>
      <w:r w:rsidRPr="00E277A6">
        <w:rPr>
          <w:rFonts w:eastAsia="Times New Roman"/>
          <w:kern w:val="0"/>
          <w14:ligatures w14:val="none"/>
        </w:rPr>
        <w:t xml:space="preserve"> ..</w:t>
      </w:r>
      <w:proofErr w:type="gramEnd"/>
      <w:r w:rsidRPr="00E277A6">
        <w:rPr>
          <w:rFonts w:eastAsia="Times New Roman"/>
          <w:kern w:val="0"/>
          <w14:ligatures w14:val="none"/>
        </w:rPr>
        <w:t>/secure-</w:t>
      </w:r>
      <w:proofErr w:type="spellStart"/>
      <w:r w:rsidRPr="00E277A6">
        <w:rPr>
          <w:rFonts w:eastAsia="Times New Roman"/>
          <w:kern w:val="0"/>
          <w14:ligatures w14:val="none"/>
        </w:rPr>
        <w:t>sdwan</w:t>
      </w:r>
      <w:proofErr w:type="spellEnd"/>
      <w:r w:rsidRPr="00E277A6">
        <w:rPr>
          <w:rFonts w:eastAsia="Times New Roman"/>
          <w:kern w:val="0"/>
          <w14:ligatures w14:val="none"/>
        </w:rPr>
        <w:t>-architecture/</w:t>
      </w:r>
    </w:p>
    <w:p w14:paraId="540C7238" w14:textId="77777777" w:rsidR="00E277A6" w:rsidRPr="00E277A6" w:rsidRDefault="00E277A6" w:rsidP="00E277A6">
      <w:pPr>
        <w:spacing w:after="0" w:line="240" w:lineRule="auto"/>
        <w:rPr>
          <w:rFonts w:eastAsia="Times New Roman"/>
          <w:kern w:val="0"/>
          <w14:ligatures w14:val="none"/>
        </w:rPr>
      </w:pPr>
      <w:r w:rsidRPr="00E277A6">
        <w:rPr>
          <w:rFonts w:eastAsia="Times New Roman"/>
          <w:kern w:val="0"/>
          <w14:ligatures w14:val="none"/>
        </w:rPr>
        <w:t>-</w:t>
      </w:r>
      <w:proofErr w:type="gramStart"/>
      <w:r w:rsidRPr="00E277A6">
        <w:rPr>
          <w:rFonts w:eastAsia="Times New Roman"/>
          <w:kern w:val="0"/>
          <w14:ligatures w14:val="none"/>
        </w:rPr>
        <w:t xml:space="preserve"> ..</w:t>
      </w:r>
      <w:proofErr w:type="gramEnd"/>
      <w:r w:rsidRPr="00E277A6">
        <w:rPr>
          <w:rFonts w:eastAsia="Times New Roman"/>
          <w:kern w:val="0"/>
          <w14:ligatures w14:val="none"/>
        </w:rPr>
        <w:t>/incident-response-plan/</w:t>
      </w:r>
    </w:p>
    <w:p w14:paraId="7FF2B5B3" w14:textId="77777777" w:rsidR="000543C4" w:rsidRDefault="000543C4"/>
    <w:sectPr w:rsidR="000543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7A6"/>
    <w:rsid w:val="000543C4"/>
    <w:rsid w:val="008F7127"/>
    <w:rsid w:val="00BD3469"/>
    <w:rsid w:val="00BE210F"/>
    <w:rsid w:val="00E27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80DD2"/>
  <w15:chartTrackingRefBased/>
  <w15:docId w15:val="{34495726-F8A2-46D2-AC85-2A3C19516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7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7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7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7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7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7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7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7A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7A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7A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7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7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7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7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7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7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833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Goodwin, Logan</dc:creator>
  <cp:keywords/>
  <dc:description/>
  <cp:lastModifiedBy>Goodwin, Logan</cp:lastModifiedBy>
  <cp:revision>1</cp:revision>
  <dcterms:created xsi:type="dcterms:W3CDTF">2026-03-03T19:59:00Z</dcterms:created>
  <dcterms:modified xsi:type="dcterms:W3CDTF">2026-03-03T20:01:00Z</dcterms:modified>
</cp:coreProperties>
</file>