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6wo9xkje4ne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Copy Guidelines</w:t>
      </w:r>
    </w:p>
    <w:p w:rsidR="00000000" w:rsidDel="00000000" w:rsidP="00000000" w:rsidRDefault="00000000" w:rsidRPr="00000000" w14:paraId="00000002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quf14r81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Upwork is a platform, not a staffing agency. It helps connect freelancers and clients; it does not vet, verify, or provide talent or projects, and it does not do the work.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imply Upwork employs freelancers or guarantees any result.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overselling, puffery, and unsubstantiated claims. All claims must be supported by data or proof assets.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 is a perk, not a guarantee. Frame it accordingly.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habzywolk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Describing freelancers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“freelancers”, “freelancer professionals”, "freelancers on Upwork," "talent on Upwork," or "independent professionals." Never "Upwork freelancers," "Upwork's freelancers," or "Upwork talent."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bsqqg4c7a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Describing what Upwork does</w:t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655"/>
        <w:tblGridChange w:id="0">
          <w:tblGrid>
            <w:gridCol w:w="4370"/>
            <w:gridCol w:w="4655"/>
          </w:tblGrid>
        </w:tblGridChange>
      </w:tblGrid>
      <w:tr>
        <w:trPr>
          <w:cantSplit w:val="0"/>
          <w:trHeight w:val="86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Don't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"Upwork will find the right talent for you."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"Upwork's platform will help you find talent."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pjrmvkd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 terms</w:t>
      </w:r>
    </w:p>
    <w:p w:rsidR="00000000" w:rsidDel="00000000" w:rsidP="00000000" w:rsidRDefault="00000000" w:rsidRPr="00000000" w14:paraId="00000010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Don't use these unless explicitly approved in the brief:</w:t>
      </w:r>
    </w:p>
    <w:tbl>
      <w:tblPr>
        <w:tblStyle w:val="Table2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4475"/>
        <w:tblGridChange w:id="0">
          <w:tblGrid>
            <w:gridCol w:w="323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(no substitute; don't use)</w:t>
            </w:r>
          </w:p>
        </w:tc>
      </w:tr>
      <w:tr>
        <w:trPr>
          <w:cantSplit w:val="0"/>
          <w:trHeight w:val="280.92529296874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(no substitute; don't use)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Resume,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Profile, proposal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Work,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 freelancers, source freelancers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Manage talent / manage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Manage your freelance program or a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Hire (when overused)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Vary with find, work with, search for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