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2.png" ContentType="image/png"/>
  <Override PartName="/word/media/rId51.png" ContentType="image/png"/>
  <Override PartName="/word/media/rId54.png" ContentType="image/png"/>
  <Override PartName="/word/media/rId46.png" ContentType="image/png"/>
  <Override PartName="/word/media/rId6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Audit</w:t>
      </w:r>
      <w:r>
        <w:t xml:space="preserve"> </w:t>
      </w:r>
      <w:r>
        <w:t xml:space="preserve">de</w:t>
      </w:r>
      <w:r>
        <w:t xml:space="preserve"> </w:t>
      </w:r>
      <w:r>
        <w:t xml:space="preserve">saturation</w:t>
      </w:r>
      <w:r>
        <w:t xml:space="preserve"> </w:t>
      </w:r>
      <w:r>
        <w:t xml:space="preserve">des</w:t>
      </w:r>
      <w:r>
        <w:t xml:space="preserve"> </w:t>
      </w:r>
      <w:r>
        <w:t xml:space="preserve">bornes</w:t>
      </w:r>
      <w:r>
        <w:t xml:space="preserve"> </w:t>
      </w:r>
      <w:r>
        <w:t xml:space="preserve">de</w:t>
      </w:r>
      <w:r>
        <w:t xml:space="preserve"> </w:t>
      </w:r>
      <w:r>
        <w:t xml:space="preserve">paramétrisation</w:t>
      </w:r>
      <w:r>
        <w:t xml:space="preserve"> </w:t>
      </w:r>
      <w:r>
        <w:t xml:space="preserve">:</w:t>
      </w:r>
      <w:r>
        <w:br/>
      </w:r>
      <w:r>
        <w:t xml:space="preserve">un</w:t>
      </w:r>
      <w:r>
        <w:t xml:space="preserve"> </w:t>
      </w:r>
      <w:r>
        <w:t xml:space="preserve">diagnostic</w:t>
      </w:r>
      <w:r>
        <w:t xml:space="preserve"> </w:t>
      </w:r>
      <w:r>
        <w:t xml:space="preserve">de</w:t>
      </w:r>
      <w:r>
        <w:t xml:space="preserve"> </w:t>
      </w:r>
      <w:r>
        <w:t xml:space="preserve">méthode</w:t>
      </w:r>
      <w:r>
        <w:t xml:space="preserve"> </w:t>
      </w:r>
      <w:r>
        <w:t xml:space="preserve">pour</w:t>
      </w:r>
      <w:r>
        <w:t xml:space="preserve"> </w:t>
      </w:r>
      <w:r>
        <w:t xml:space="preserve">la</w:t>
      </w:r>
      <w:r>
        <w:t xml:space="preserve"> </w:t>
      </w:r>
      <w:r>
        <w:t xml:space="preserve">conversion</w:t>
      </w:r>
      <w:r>
        <w:t xml:space="preserve"> </w:t>
      </w:r>
      <w:r>
        <w:t xml:space="preserve">FO-LQI</w:t>
      </w:r>
      <w:r>
        <w:t xml:space="preserve"> </w:t>
      </w:r>
      <m:oMath>
        <m:r>
          <m:rPr>
            <m:sty m:val="p"/>
          </m:rPr>
          <m:t>→</m:t>
        </m:r>
      </m:oMath>
      <w:r>
        <w:t xml:space="preserve"> </w:t>
      </w:r>
      <w:r>
        <w:t xml:space="preserve">FO-PIDF</w:t>
      </w:r>
      <w:r>
        <w:br/>
      </w:r>
      <w:r>
        <w:t xml:space="preserve">d’un</w:t>
      </w:r>
      <w:r>
        <w:t xml:space="preserve"> </w:t>
      </w:r>
      <w:r>
        <w:t xml:space="preserve">Buck</w:t>
      </w:r>
      <w:r>
        <w:t xml:space="preserve"> </w:t>
      </w:r>
      <w:r>
        <w:t xml:space="preserve">non</w:t>
      </w:r>
      <w:r>
        <w:t xml:space="preserve"> </w:t>
      </w:r>
      <w:r>
        <w:t xml:space="preserve">idéal</w:t>
      </w:r>
      <w:r>
        <w:t xml:space="preserve"> </w:t>
      </w:r>
      <w:r>
        <w:t xml:space="preserve">de</w:t>
      </w:r>
      <w:r>
        <w:t xml:space="preserve"> </w:t>
      </w:r>
      <w:r>
        <w:t xml:space="preserve">48 V</w:t>
      </w:r>
    </w:p>
    <w:p>
      <w:pPr>
        <w:pStyle w:val="Author"/>
      </w:pPr>
      <w:r>
        <w:t xml:space="preserve">Auteur(s)</w:t>
      </w:r>
      <w:r>
        <w:t xml:space="preserve"> </w:t>
      </w:r>
      <w:r>
        <w:t xml:space="preserve">anonyme(s)</w:t>
      </w:r>
    </w:p>
    <w:p>
      <w:pPr>
        <w:pStyle w:val="AbstractTitle"/>
      </w:pPr>
      <w:r>
        <w:t xml:space="preserve">Abstract</w:t>
      </w:r>
    </w:p>
    <w:p>
      <w:pPr>
        <w:pStyle w:val="Abstract"/>
      </w:pPr>
      <w:r>
        <w:t xml:space="preserve">Une</w:t>
      </w:r>
      <w:r>
        <w:t xml:space="preserve"> </w:t>
      </w:r>
      <w:r>
        <w:t xml:space="preserve">campagne</w:t>
      </w:r>
      <w:r>
        <w:t xml:space="preserve"> </w:t>
      </w:r>
      <w:r>
        <w:t xml:space="preserve">antérieure</w:t>
      </w:r>
      <w:r>
        <w:t xml:space="preserve"> </w:t>
      </w:r>
      <w:r>
        <w:t xml:space="preserve">d’optimisation</w:t>
      </w:r>
      <w:r>
        <w:t xml:space="preserve"> </w:t>
      </w:r>
      <w:r>
        <w:t xml:space="preserve">FO-LQI</w:t>
      </w:r>
      <w:r>
        <w:t xml:space="preserve"> </w:t>
      </w:r>
      <m:oMath>
        <m:r>
          <m:rPr>
            <m:sty m:val="p"/>
          </m:rPr>
          <m:t>→</m:t>
        </m:r>
      </m:oMath>
      <w:r>
        <w:t xml:space="preserve"> </w:t>
      </w:r>
      <w:r>
        <w:t xml:space="preserve">FO-PIDF</w:t>
      </w:r>
      <w:r>
        <w:t xml:space="preserve"> </w:t>
      </w:r>
      <w:r>
        <w:t xml:space="preserve">pour</w:t>
      </w:r>
      <w:r>
        <w:t xml:space="preserve"> </w:t>
      </w:r>
      <w:r>
        <w:t xml:space="preserve">un</w:t>
      </w:r>
      <w:r>
        <w:t xml:space="preserve"> </w:t>
      </w:r>
      <w:r>
        <w:t xml:space="preserve">convertisseur</w:t>
      </w:r>
      <w:r>
        <w:t xml:space="preserve"> </w:t>
      </w:r>
      <w:r>
        <w:t xml:space="preserve">Buck</w:t>
      </w:r>
      <w:r>
        <w:t xml:space="preserve"> </w:t>
      </w:r>
      <w:r>
        <w:t xml:space="preserve">non</w:t>
      </w:r>
      <w:r>
        <w:t xml:space="preserve"> </w:t>
      </w:r>
      <w:r>
        <w:t xml:space="preserve">idéal</w:t>
      </w:r>
      <w:r>
        <w:t xml:space="preserve"> </w:t>
      </w:r>
      <w:r>
        <w:t xml:space="preserve">de</w:t>
      </w:r>
      <w:r>
        <w:t xml:space="preserve"> </w:t>
      </w:r>
      <w:r>
        <w:t xml:space="preserve">48 V</w:t>
      </w:r>
      <w:r>
        <w:t xml:space="preserve"> </w:t>
      </w:r>
      <w:r>
        <w:t xml:space="preserve">avait</w:t>
      </w:r>
      <w:r>
        <w:t xml:space="preserve"> </w:t>
      </w:r>
      <w:r>
        <w:t xml:space="preserve">consommé</w:t>
      </w:r>
      <w:r>
        <w:t xml:space="preserve"> </w:t>
      </w:r>
      <w:r>
        <w:t xml:space="preserve">plus</w:t>
      </w:r>
      <w:r>
        <w:t xml:space="preserve"> </w:t>
      </w:r>
      <w:r>
        <w:t xml:space="preserve">de</w:t>
      </w:r>
      <w:r>
        <w:t xml:space="preserve"> </w:t>
      </w:r>
      <w:r>
        <w:t xml:space="preserve">1800</w:t>
      </w:r>
      <w:r>
        <w:t xml:space="preserve"> </w:t>
      </w:r>
      <w:r>
        <w:t xml:space="preserve">évaluations</w:t>
      </w:r>
      <w:r>
        <w:t xml:space="preserve"> </w:t>
      </w:r>
      <w:r>
        <w:t xml:space="preserve">sans</w:t>
      </w:r>
      <w:r>
        <w:t xml:space="preserve"> </w:t>
      </w:r>
      <w:r>
        <w:t xml:space="preserve">atteindre</w:t>
      </w:r>
      <w:r>
        <w:t xml:space="preserve"> </w:t>
      </w:r>
      <w:r>
        <w:t xml:space="preserve">la</w:t>
      </w:r>
      <w:r>
        <w:t xml:space="preserve"> </w:t>
      </w:r>
      <w:r>
        <w:t xml:space="preserve">faisabilité</w:t>
      </w:r>
      <w:r>
        <w:t xml:space="preserve"> </w:t>
      </w:r>
      <w:r>
        <w:t xml:space="preserve">robuste,</w:t>
      </w:r>
      <w:r>
        <w:t xml:space="preserve"> </w:t>
      </w:r>
      <w:r>
        <w:t xml:space="preserve">et</w:t>
      </w:r>
      <w:r>
        <w:t xml:space="preserve"> </w:t>
      </w:r>
      <w:r>
        <w:t xml:space="preserve">attribuait</w:t>
      </w:r>
      <w:r>
        <w:t xml:space="preserve"> </w:t>
      </w:r>
      <w:r>
        <w:t xml:space="preserve">cet</w:t>
      </w:r>
      <w:r>
        <w:t xml:space="preserve"> </w:t>
      </w:r>
      <w:r>
        <w:t xml:space="preserve">échec</w:t>
      </w:r>
      <w:r>
        <w:t xml:space="preserve"> </w:t>
      </w:r>
      <w:r>
        <w:t xml:space="preserve">à</w:t>
      </w:r>
      <w:r>
        <w:t xml:space="preserve"> </w:t>
      </w:r>
      <w:r>
        <w:t xml:space="preserve">l’écrêtage</w:t>
      </w:r>
      <w:r>
        <w:t xml:space="preserve"> </w:t>
      </w:r>
      <w:r>
        <w:t xml:space="preserve">du</w:t>
      </w:r>
      <w:r>
        <w:t xml:space="preserve"> </w:t>
      </w:r>
      <w:r>
        <w:t xml:space="preserve">gain</w:t>
      </w:r>
      <w:r>
        <w:t xml:space="preserve"> </w:t>
      </w:r>
      <w:r>
        <w:t xml:space="preserve">proportionnel</w:t>
      </w:r>
      <w:r>
        <w:t xml:space="preserve"> </w:t>
      </w:r>
      <w:r>
        <w:t xml:space="preserve">sur</w:t>
      </w:r>
      <w:r>
        <w:t xml:space="preserve"> </w:t>
      </w:r>
      <w:r>
        <w:t xml:space="preserve">une</w:t>
      </w:r>
      <w:r>
        <w:t xml:space="preserve"> </w:t>
      </w:r>
      <w:r>
        <w:t xml:space="preserve">borne</w:t>
      </w:r>
      <w:r>
        <w:t xml:space="preserve"> </w:t>
      </w:r>
      <w:r>
        <w:t xml:space="preserve">de</w:t>
      </w:r>
      <w:r>
        <w:t xml:space="preserve"> </w:t>
      </w:r>
      <w:r>
        <w:t xml:space="preserve">paramétrisation.</w:t>
      </w:r>
      <w:r>
        <w:t xml:space="preserve"> </w:t>
      </w:r>
      <w:r>
        <w:t xml:space="preserve">Nous</w:t>
      </w:r>
      <w:r>
        <w:t xml:space="preserve"> </w:t>
      </w:r>
      <w:r>
        <w:t xml:space="preserve">proposons</w:t>
      </w:r>
      <w:r>
        <w:t xml:space="preserve"> </w:t>
      </w:r>
      <w:r>
        <w:t xml:space="preserve">un</w:t>
      </w:r>
      <w:r>
        <w:t xml:space="preserve"> </w:t>
      </w:r>
      <w:r>
        <w:rPr>
          <w:iCs/>
          <w:i/>
        </w:rPr>
        <w:t xml:space="preserve">audit</w:t>
      </w:r>
      <w:r>
        <w:rPr>
          <w:iCs/>
          <w:i/>
        </w:rPr>
        <w:t xml:space="preserve"> </w:t>
      </w:r>
      <w:r>
        <w:rPr>
          <w:iCs/>
          <w:i/>
        </w:rPr>
        <w:t xml:space="preserve">de</w:t>
      </w:r>
      <w:r>
        <w:rPr>
          <w:iCs/>
          <w:i/>
        </w:rPr>
        <w:t xml:space="preserve"> </w:t>
      </w:r>
      <w:r>
        <w:rPr>
          <w:iCs/>
          <w:i/>
        </w:rPr>
        <w:t xml:space="preserve">saturation</w:t>
      </w:r>
      <w:r>
        <w:rPr>
          <w:iCs/>
          <w:i/>
        </w:rPr>
        <w:t xml:space="preserve"> </w:t>
      </w:r>
      <w:r>
        <w:rPr>
          <w:iCs/>
          <w:i/>
        </w:rPr>
        <w:t xml:space="preserve">des</w:t>
      </w:r>
      <w:r>
        <w:rPr>
          <w:iCs/>
          <w:i/>
        </w:rPr>
        <w:t xml:space="preserve"> </w:t>
      </w:r>
      <w:r>
        <w:rPr>
          <w:iCs/>
          <w:i/>
        </w:rPr>
        <w:t xml:space="preserve">bornes</w:t>
      </w:r>
      <w:r>
        <w:t xml:space="preserve">,</w:t>
      </w:r>
      <w:r>
        <w:t xml:space="preserve"> </w:t>
      </w:r>
      <w:r>
        <w:t xml:space="preserve">qui</w:t>
      </w:r>
      <w:r>
        <w:t xml:space="preserve"> </w:t>
      </w:r>
      <w:r>
        <w:t xml:space="preserve">distingue</w:t>
      </w:r>
      <w:r>
        <w:t xml:space="preserve"> </w:t>
      </w:r>
      <w:r>
        <w:t xml:space="preserve">saturations</w:t>
      </w:r>
      <w:r>
        <w:t xml:space="preserve"> </w:t>
      </w:r>
      <w:r>
        <w:t xml:space="preserve">structurelles</w:t>
      </w:r>
      <w:r>
        <w:t xml:space="preserve"> </w:t>
      </w:r>
      <w:r>
        <w:t xml:space="preserve">et</w:t>
      </w:r>
      <w:r>
        <w:t xml:space="preserve"> </w:t>
      </w:r>
      <w:r>
        <w:t xml:space="preserve">pathologiques,</w:t>
      </w:r>
      <w:r>
        <w:t xml:space="preserve"> </w:t>
      </w:r>
      <w:r>
        <w:t xml:space="preserve">et</w:t>
      </w:r>
      <w:r>
        <w:t xml:space="preserve"> </w:t>
      </w:r>
      <w:r>
        <w:t xml:space="preserve">nous</w:t>
      </w:r>
      <w:r>
        <w:t xml:space="preserve"> </w:t>
      </w:r>
      <w:r>
        <w:t xml:space="preserve">l’appliquons</w:t>
      </w:r>
      <w:r>
        <w:t xml:space="preserve"> </w:t>
      </w:r>
      <w:r>
        <w:t xml:space="preserve">à</w:t>
      </w:r>
      <w:r>
        <w:t xml:space="preserve"> </w:t>
      </w:r>
      <w:r>
        <w:t xml:space="preserve">une</w:t>
      </w:r>
      <w:r>
        <w:t xml:space="preserve"> </w:t>
      </w:r>
      <w:r>
        <w:t xml:space="preserve">chaîne</w:t>
      </w:r>
      <w:r>
        <w:t xml:space="preserve"> </w:t>
      </w:r>
      <w:r>
        <w:t xml:space="preserve">reconstruite</w:t>
      </w:r>
      <w:r>
        <w:t xml:space="preserve"> </w:t>
      </w:r>
      <w:r>
        <w:t xml:space="preserve">dont</w:t>
      </w:r>
      <w:r>
        <w:t xml:space="preserve"> </w:t>
      </w:r>
      <w:r>
        <w:t xml:space="preserve">la</w:t>
      </w:r>
      <w:r>
        <w:t xml:space="preserve"> </w:t>
      </w:r>
      <w:r>
        <w:t xml:space="preserve">projection</w:t>
      </w:r>
      <w:r>
        <w:t xml:space="preserve"> </w:t>
      </w:r>
      <w:r>
        <w:t xml:space="preserve">reproduit</w:t>
      </w:r>
      <w:r>
        <w:t xml:space="preserve"> </w:t>
      </w:r>
      <w:r>
        <w:t xml:space="preserve">la</w:t>
      </w:r>
      <w:r>
        <w:t xml:space="preserve"> </w:t>
      </w:r>
      <w:r>
        <w:t xml:space="preserve">proposition</w:t>
      </w:r>
      <w:r>
        <w:t xml:space="preserve"> </w:t>
      </w:r>
      <w:r>
        <w:t xml:space="preserve">d’identité</w:t>
      </w:r>
      <w:r>
        <w:t xml:space="preserve"> </w:t>
      </w:r>
      <w:r>
        <w:t xml:space="preserve">exacte</w:t>
      </w:r>
      <w:r>
        <w:t xml:space="preserve"> </w:t>
      </w:r>
      <w:r>
        <w:t xml:space="preserve">à</w:t>
      </w:r>
      <w:r>
        <w:t xml:space="preserve"> </w:t>
      </w:r>
      <m:oMath>
        <m:r>
          <m:t>5</m:t>
        </m:r>
        <m:r>
          <m:rPr>
            <m:sty m:val="p"/>
          </m:rPr>
          <m:t>,</m:t>
        </m:r>
        <m:r>
          <m:t>4</m:t>
        </m:r>
        <m:r>
          <m:rPr>
            <m:sty m:val="p"/>
          </m:rPr>
          <m:t>×</m:t>
        </m:r>
        <m:sSup>
          <m:e>
            <m:r>
              <m:t>10</m:t>
            </m:r>
          </m:e>
          <m:sup>
            <m:r>
              <m:rPr>
                <m:sty m:val="p"/>
              </m:rPr>
              <m:t>−</m:t>
            </m:r>
            <m:r>
              <m:t>16</m:t>
            </m:r>
          </m:sup>
        </m:sSup>
      </m:oMath>
      <w:r>
        <w:t xml:space="preserve"> </w:t>
      </w:r>
      <w:r>
        <w:t xml:space="preserve">près.</w:t>
      </w:r>
      <w:r>
        <w:t xml:space="preserve"> </w:t>
      </w:r>
      <w:r>
        <w:t xml:space="preserve">Sur</w:t>
      </w:r>
      <w:r>
        <w:t xml:space="preserve"> </w:t>
      </w:r>
      <w:r>
        <w:t xml:space="preserve">4096</w:t>
      </w:r>
      <w:r>
        <w:t xml:space="preserve"> </w:t>
      </w:r>
      <w:r>
        <w:t xml:space="preserve">tirages</w:t>
      </w:r>
      <w:r>
        <w:t xml:space="preserve"> </w:t>
      </w:r>
      <w:r>
        <w:t xml:space="preserve">de</w:t>
      </w:r>
      <w:r>
        <w:t xml:space="preserve"> </w:t>
      </w:r>
      <w:r>
        <w:t xml:space="preserve">la</w:t>
      </w:r>
      <w:r>
        <w:t xml:space="preserve"> </w:t>
      </w:r>
      <w:r>
        <w:t xml:space="preserve">boîte</w:t>
      </w:r>
      <w:r>
        <w:t xml:space="preserve"> </w:t>
      </w:r>
      <w:r>
        <w:t xml:space="preserve">de</w:t>
      </w:r>
      <w:r>
        <w:t xml:space="preserve"> </w:t>
      </w:r>
      <w:r>
        <w:t xml:space="preserve">décision,</w:t>
      </w:r>
      <w:r>
        <w:t xml:space="preserve"> </w:t>
      </w:r>
      <m:oMath>
        <m:sSub>
          <m:e>
            <m:r>
              <m:rPr>
                <m:sty m:val="p"/>
              </m:rPr>
              <m:t>log</m:t>
            </m:r>
          </m:e>
          <m:sub>
            <m:r>
              <m:t>10</m:t>
            </m:r>
          </m:sub>
        </m:sSub>
        <m:sSub>
          <m:e>
            <m:r>
              <m:t>k</m:t>
            </m:r>
          </m:e>
          <m:sub>
            <m:r>
              <m:t>p</m:t>
            </m:r>
          </m:sub>
        </m:sSub>
      </m:oMath>
      <w:r>
        <w:t xml:space="preserve"> </w:t>
      </w:r>
      <w:r>
        <w:t xml:space="preserve">ne</w:t>
      </w:r>
      <w:r>
        <w:t xml:space="preserve"> </w:t>
      </w:r>
      <w:r>
        <w:t xml:space="preserve">touche</w:t>
      </w:r>
      <w:r>
        <w:t xml:space="preserve"> </w:t>
      </w:r>
      <w:r>
        <w:t xml:space="preserve">jamais</w:t>
      </w:r>
      <w:r>
        <w:t xml:space="preserve"> </w:t>
      </w:r>
      <w:r>
        <w:t xml:space="preserve">sa</w:t>
      </w:r>
      <w:r>
        <w:t xml:space="preserve"> </w:t>
      </w:r>
      <w:r>
        <w:t xml:space="preserve">borne</w:t>
      </w:r>
      <w:r>
        <w:t xml:space="preserve"> </w:t>
      </w:r>
      <w:r>
        <w:t xml:space="preserve">:</w:t>
      </w:r>
      <w:r>
        <w:t xml:space="preserve"> </w:t>
      </w:r>
      <w:r>
        <w:t xml:space="preserve">l’écrêtage</w:t>
      </w:r>
      <w:r>
        <w:t xml:space="preserve"> </w:t>
      </w:r>
      <w:r>
        <w:t xml:space="preserve">n’explique</w:t>
      </w:r>
      <w:r>
        <w:t xml:space="preserve"> </w:t>
      </w:r>
      <w:r>
        <w:t xml:space="preserve">pas</w:t>
      </w:r>
      <w:r>
        <w:t xml:space="preserve"> </w:t>
      </w:r>
      <w:r>
        <w:t xml:space="preserve">l’échec.</w:t>
      </w:r>
      <w:r>
        <w:t xml:space="preserve"> </w:t>
      </w:r>
      <w:r>
        <w:t xml:space="preserve">Une</w:t>
      </w:r>
      <w:r>
        <w:t xml:space="preserve"> </w:t>
      </w:r>
      <w:r>
        <w:t xml:space="preserve">campagne</w:t>
      </w:r>
      <w:r>
        <w:t xml:space="preserve"> </w:t>
      </w:r>
      <w:r>
        <w:t xml:space="preserve">confirmatoire</w:t>
      </w:r>
      <w:r>
        <w:t xml:space="preserve"> </w:t>
      </w:r>
      <w:r>
        <w:t xml:space="preserve">préenregistrée</w:t>
      </w:r>
      <w:r>
        <w:t xml:space="preserve"> </w:t>
      </w:r>
      <w:r>
        <w:t xml:space="preserve">(protocole</w:t>
      </w:r>
      <w:r>
        <w:t xml:space="preserve"> </w:t>
      </w:r>
      <w:r>
        <w:t xml:space="preserve">figé</w:t>
      </w:r>
      <w:r>
        <w:t xml:space="preserve"> </w:t>
      </w:r>
      <w:r>
        <w:t xml:space="preserve">par</w:t>
      </w:r>
      <w:r>
        <w:t xml:space="preserve"> </w:t>
      </w:r>
      <w:r>
        <w:t xml:space="preserve">empreintes,</w:t>
      </w:r>
      <w:r>
        <w:t xml:space="preserve"> </w:t>
      </w:r>
      <w:r>
        <w:t xml:space="preserve">trois</w:t>
      </w:r>
      <w:r>
        <w:t xml:space="preserve"> </w:t>
      </w:r>
      <w:r>
        <w:t xml:space="preserve">bras,</w:t>
      </w:r>
      <w:r>
        <w:t xml:space="preserve"> </w:t>
      </w:r>
      <w:r>
        <w:t xml:space="preserve">six</w:t>
      </w:r>
      <w:r>
        <w:t xml:space="preserve"> </w:t>
      </w:r>
      <w:r>
        <w:t xml:space="preserve">métaheuristiques,</w:t>
      </w:r>
      <w:r>
        <w:t xml:space="preserve"> </w:t>
      </w:r>
      <w:r>
        <w:t xml:space="preserve">trente</w:t>
      </w:r>
      <w:r>
        <w:t xml:space="preserve"> </w:t>
      </w:r>
      <w:r>
        <w:t xml:space="preserve">graines</w:t>
      </w:r>
      <w:r>
        <w:t xml:space="preserve"> </w:t>
      </w:r>
      <w:r>
        <w:t xml:space="preserve">appariées,</w:t>
      </w:r>
      <w:r>
        <w:t xml:space="preserve"> </w:t>
      </w:r>
      <w:r>
        <w:t xml:space="preserve">540</w:t>
      </w:r>
      <w:r>
        <w:t xml:space="preserve"> </w:t>
      </w:r>
      <w:r>
        <w:t xml:space="preserve">cellules)</w:t>
      </w:r>
      <w:r>
        <w:t xml:space="preserve"> </w:t>
      </w:r>
      <w:r>
        <w:t xml:space="preserve">sur</w:t>
      </w:r>
      <w:r>
        <w:t xml:space="preserve"> </w:t>
      </w:r>
      <w:r>
        <w:t xml:space="preserve">un</w:t>
      </w:r>
      <w:r>
        <w:t xml:space="preserve"> </w:t>
      </w:r>
      <w:r>
        <w:t xml:space="preserve">simulateur</w:t>
      </w:r>
      <w:r>
        <w:t xml:space="preserve"> </w:t>
      </w:r>
      <w:r>
        <w:t xml:space="preserve">commuté</w:t>
      </w:r>
      <w:r>
        <w:t xml:space="preserve"> </w:t>
      </w:r>
      <w:r>
        <w:t xml:space="preserve">qui</w:t>
      </w:r>
      <w:r>
        <w:t xml:space="preserve"> </w:t>
      </w:r>
      <w:r>
        <w:t xml:space="preserve">reproduit</w:t>
      </w:r>
      <w:r>
        <w:t xml:space="preserve"> </w:t>
      </w:r>
      <w:r>
        <w:t xml:space="preserve">la</w:t>
      </w:r>
      <w:r>
        <w:t xml:space="preserve"> </w:t>
      </w:r>
      <w:r>
        <w:t xml:space="preserve">conduction</w:t>
      </w:r>
      <w:r>
        <w:t xml:space="preserve"> </w:t>
      </w:r>
      <w:r>
        <w:t xml:space="preserve">discontinue</w:t>
      </w:r>
      <w:r>
        <w:t xml:space="preserve"> </w:t>
      </w:r>
      <w:r>
        <w:t xml:space="preserve">ne</w:t>
      </w:r>
      <w:r>
        <w:t xml:space="preserve"> </w:t>
      </w:r>
      <w:r>
        <w:t xml:space="preserve">produit</w:t>
      </w:r>
      <w:r>
        <w:t xml:space="preserve"> </w:t>
      </w:r>
      <w:r>
        <w:rPr>
          <w:iCs/>
          <w:i/>
        </w:rPr>
        <w:t xml:space="preserve">aucun</w:t>
      </w:r>
      <w:r>
        <w:t xml:space="preserve"> </w:t>
      </w:r>
      <w:r>
        <w:t xml:space="preserve">correcteur</w:t>
      </w:r>
      <w:r>
        <w:t xml:space="preserve"> </w:t>
      </w:r>
      <w:r>
        <w:t xml:space="preserve">robustement</w:t>
      </w:r>
      <w:r>
        <w:t xml:space="preserve"> </w:t>
      </w:r>
      <w:r>
        <w:t xml:space="preserve">faisable</w:t>
      </w:r>
      <w:r>
        <w:t xml:space="preserve"> </w:t>
      </w:r>
      <w:r>
        <w:t xml:space="preserve">:</w:t>
      </w:r>
      <w:r>
        <w:t xml:space="preserve"> </w:t>
      </w:r>
      <w:r>
        <w:t xml:space="preserve">0/30</w:t>
      </w:r>
      <w:r>
        <w:t xml:space="preserve"> </w:t>
      </w:r>
      <w:r>
        <w:t xml:space="preserve">graines</w:t>
      </w:r>
      <w:r>
        <w:t xml:space="preserve"> </w:t>
      </w:r>
      <w:r>
        <w:t xml:space="preserve">par</w:t>
      </w:r>
      <w:r>
        <w:t xml:space="preserve"> </w:t>
      </w:r>
      <w:r>
        <w:t xml:space="preserve">méthode</w:t>
      </w:r>
      <w:r>
        <w:t xml:space="preserve"> </w:t>
      </w:r>
      <w:r>
        <w:t xml:space="preserve">et</w:t>
      </w:r>
      <w:r>
        <w:t xml:space="preserve"> </w:t>
      </w:r>
      <w:r>
        <w:t xml:space="preserve">par</w:t>
      </w:r>
      <w:r>
        <w:t xml:space="preserve"> </w:t>
      </w:r>
      <w:r>
        <w:t xml:space="preserve">bras,</w:t>
      </w:r>
      <w:r>
        <w:t xml:space="preserve"> </w:t>
      </w:r>
      <w:r>
        <w:t xml:space="preserve">intervalle</w:t>
      </w:r>
      <w:r>
        <w:t xml:space="preserve"> </w:t>
      </w:r>
      <w:r>
        <w:t xml:space="preserve">de</w:t>
      </w:r>
      <w:r>
        <w:t xml:space="preserve"> </w:t>
      </w:r>
      <w:r>
        <w:t xml:space="preserve">Wilson</w:t>
      </w:r>
      <w:r>
        <w:t xml:space="preserve"> </w:t>
      </w:r>
      <m:oMath>
        <m:r>
          <m:rPr>
            <m:sty m:val="p"/>
          </m:rPr>
          <m:t>[</m:t>
        </m:r>
        <m:r>
          <m:t>0</m:t>
        </m:r>
        <m:r>
          <m:rPr>
            <m:sty m:val="p"/>
          </m:rPr>
          <m:t>;</m:t>
        </m:r>
      </m:oMath>
      <w:r>
        <w:t xml:space="preserve">11</w:t>
      </w:r>
      <w:r>
        <w:t xml:space="preserve">,</w:t>
      </w:r>
      <w:r>
        <w:t xml:space="preserve">4 %</w:t>
      </w:r>
      <m:oMath>
        <m:r>
          <m:rPr>
            <m:sty m:val="p"/>
          </m:rPr>
          <m:t>]</m:t>
        </m:r>
      </m:oMath>
      <w:r>
        <w:t xml:space="preserve">.</w:t>
      </w:r>
      <w:r>
        <w:t xml:space="preserve"> </w:t>
      </w:r>
      <w:r>
        <w:t xml:space="preserve">La</w:t>
      </w:r>
      <w:r>
        <w:t xml:space="preserve"> </w:t>
      </w:r>
      <w:r>
        <w:t xml:space="preserve">paramétrisation</w:t>
      </w:r>
      <w:r>
        <w:t xml:space="preserve"> </w:t>
      </w:r>
      <w:r>
        <w:t xml:space="preserve">conforme</w:t>
      </w:r>
      <w:r>
        <w:t xml:space="preserve"> </w:t>
      </w:r>
      <w:r>
        <w:t xml:space="preserve">au</w:t>
      </w:r>
      <w:r>
        <w:t xml:space="preserve"> </w:t>
      </w:r>
      <w:r>
        <w:t xml:space="preserve">cadrage</w:t>
      </w:r>
      <w:r>
        <w:t xml:space="preserve"> </w:t>
      </w:r>
      <w:r>
        <w:t xml:space="preserve">n’atteint</w:t>
      </w:r>
      <w:r>
        <w:t xml:space="preserve"> </w:t>
      </w:r>
      <w:r>
        <w:t xml:space="preserve">même</w:t>
      </w:r>
      <w:r>
        <w:t xml:space="preserve"> </w:t>
      </w:r>
      <w:r>
        <w:t xml:space="preserve">pas</w:t>
      </w:r>
      <w:r>
        <w:t xml:space="preserve"> </w:t>
      </w:r>
      <w:r>
        <w:t xml:space="preserve">la</w:t>
      </w:r>
      <w:r>
        <w:t xml:space="preserve"> </w:t>
      </w:r>
      <w:r>
        <w:t xml:space="preserve">faisabilité</w:t>
      </w:r>
      <w:r>
        <w:t xml:space="preserve"> </w:t>
      </w:r>
      <w:r>
        <w:t xml:space="preserve">nominale</w:t>
      </w:r>
      <w:r>
        <w:t xml:space="preserve"> </w:t>
      </w:r>
      <w:r>
        <w:t xml:space="preserve">;</w:t>
      </w:r>
      <w:r>
        <w:t xml:space="preserve"> </w:t>
      </w:r>
      <w:r>
        <w:t xml:space="preserve">libérer</w:t>
      </w:r>
      <w:r>
        <w:t xml:space="preserve"> </w:t>
      </w:r>
      <w:r>
        <w:t xml:space="preserve">la</w:t>
      </w:r>
      <w:r>
        <w:t xml:space="preserve"> </w:t>
      </w:r>
      <w:r>
        <w:t xml:space="preserve">pondération</w:t>
      </w:r>
      <w:r>
        <w:t xml:space="preserve"> </w:t>
      </w:r>
      <w:r>
        <w:t xml:space="preserve">de</w:t>
      </w:r>
      <w:r>
        <w:t xml:space="preserve"> </w:t>
      </w:r>
      <w:r>
        <w:t xml:space="preserve">consigne </w:t>
      </w:r>
      <m:oMath>
        <m:r>
          <m:t>b</m:t>
        </m:r>
      </m:oMath>
      <w:r>
        <w:t xml:space="preserve"> </w:t>
      </w:r>
      <w:r>
        <w:t xml:space="preserve">la</w:t>
      </w:r>
      <w:r>
        <w:t xml:space="preserve"> </w:t>
      </w:r>
      <w:r>
        <w:t xml:space="preserve">rend</w:t>
      </w:r>
      <w:r>
        <w:t xml:space="preserve"> </w:t>
      </w:r>
      <w:r>
        <w:t xml:space="preserve">accessible</w:t>
      </w:r>
      <w:r>
        <w:t xml:space="preserve"> </w:t>
      </w:r>
      <w:r>
        <w:t xml:space="preserve">dans</w:t>
      </w:r>
      <w:r>
        <w:t xml:space="preserve"> </w:t>
      </w:r>
      <w:r>
        <w:t xml:space="preserve">159</w:t>
      </w:r>
      <w:r>
        <w:t xml:space="preserve"> </w:t>
      </w:r>
      <w:r>
        <w:t xml:space="preserve">cellules</w:t>
      </w:r>
      <w:r>
        <w:t xml:space="preserve"> </w:t>
      </w:r>
      <w:r>
        <w:t xml:space="preserve">sur</w:t>
      </w:r>
      <w:r>
        <w:t xml:space="preserve"> </w:t>
      </w:r>
      <w:r>
        <w:t xml:space="preserve">180,</w:t>
      </w:r>
      <w:r>
        <w:t xml:space="preserve"> </w:t>
      </w:r>
      <w:r>
        <w:t xml:space="preserve">sans</w:t>
      </w:r>
      <w:r>
        <w:t xml:space="preserve"> </w:t>
      </w:r>
      <w:r>
        <w:t xml:space="preserve">robustesse.</w:t>
      </w:r>
      <w:r>
        <w:t xml:space="preserve"> </w:t>
      </w:r>
      <w:r>
        <w:t xml:space="preserve">Un</w:t>
      </w:r>
      <w:r>
        <w:t xml:space="preserve"> </w:t>
      </w:r>
      <w:r>
        <w:t xml:space="preserve">diagnostic</w:t>
      </w:r>
      <w:r>
        <w:t xml:space="preserve"> </w:t>
      </w:r>
      <w:r>
        <w:t xml:space="preserve">physique</w:t>
      </w:r>
      <w:r>
        <w:t xml:space="preserve"> </w:t>
      </w:r>
      <w:r>
        <w:t xml:space="preserve">identifie</w:t>
      </w:r>
      <w:r>
        <w:t xml:space="preserve"> </w:t>
      </w:r>
      <w:r>
        <w:t xml:space="preserve">un</w:t>
      </w:r>
      <w:r>
        <w:t xml:space="preserve"> </w:t>
      </w:r>
      <w:r>
        <w:t xml:space="preserve">verrou</w:t>
      </w:r>
      <w:r>
        <w:t xml:space="preserve"> </w:t>
      </w:r>
      <w:r>
        <w:t xml:space="preserve">indépendant</w:t>
      </w:r>
      <w:r>
        <w:t xml:space="preserve"> </w:t>
      </w:r>
      <w:r>
        <w:t xml:space="preserve">du</w:t>
      </w:r>
      <w:r>
        <w:t xml:space="preserve"> </w:t>
      </w:r>
      <w:r>
        <w:t xml:space="preserve">correcteur</w:t>
      </w:r>
      <w:r>
        <w:t xml:space="preserve"> </w:t>
      </w:r>
      <w:r>
        <w:t xml:space="preserve">:</w:t>
      </w:r>
      <w:r>
        <w:t xml:space="preserve"> </w:t>
      </w:r>
      <w:r>
        <w:t xml:space="preserve">à</w:t>
      </w:r>
      <w:r>
        <w:t xml:space="preserve"> </w:t>
      </w:r>
      <w:r>
        <w:t xml:space="preserve">rapport</w:t>
      </w:r>
      <w:r>
        <w:t xml:space="preserve"> </w:t>
      </w:r>
      <w:r>
        <w:t xml:space="preserve">cyclique</w:t>
      </w:r>
      <w:r>
        <w:t xml:space="preserve"> </w:t>
      </w:r>
      <w:r>
        <w:t xml:space="preserve">minimal,</w:t>
      </w:r>
      <w:r>
        <w:t xml:space="preserve"> </w:t>
      </w:r>
      <w:r>
        <w:t xml:space="preserve">le</w:t>
      </w:r>
      <w:r>
        <w:t xml:space="preserve"> </w:t>
      </w:r>
      <w:r>
        <w:t xml:space="preserve">convertisseur</w:t>
      </w:r>
      <w:r>
        <w:t xml:space="preserve"> </w:t>
      </w:r>
      <w:r>
        <w:t xml:space="preserve">en</w:t>
      </w:r>
      <w:r>
        <w:t xml:space="preserve"> </w:t>
      </w:r>
      <w:r>
        <w:t xml:space="preserve">conduction</w:t>
      </w:r>
      <w:r>
        <w:t xml:space="preserve"> </w:t>
      </w:r>
      <w:r>
        <w:t xml:space="preserve">discontinue</w:t>
      </w:r>
      <w:r>
        <w:t xml:space="preserve"> </w:t>
      </w:r>
      <w:r>
        <w:t xml:space="preserve">se</w:t>
      </w:r>
      <w:r>
        <w:t xml:space="preserve"> </w:t>
      </w:r>
      <w:r>
        <w:t xml:space="preserve">stabilise</w:t>
      </w:r>
      <w:r>
        <w:t xml:space="preserve"> </w:t>
      </w:r>
      <w:r>
        <w:t xml:space="preserve">sous</w:t>
      </w:r>
      <w:r>
        <w:t xml:space="preserve"> </w:t>
      </w:r>
      <w:r>
        <w:t xml:space="preserve">le</w:t>
      </w:r>
      <w:r>
        <w:t xml:space="preserve"> </w:t>
      </w:r>
      <w:r>
        <w:t xml:space="preserve">seuil</w:t>
      </w:r>
      <w:r>
        <w:t xml:space="preserve"> </w:t>
      </w:r>
      <w:r>
        <w:t xml:space="preserve">de</w:t>
      </w:r>
      <w:r>
        <w:t xml:space="preserve"> </w:t>
      </w:r>
      <w:r>
        <w:t xml:space="preserve">tension</w:t>
      </w:r>
      <w:r>
        <w:t xml:space="preserve"> </w:t>
      </w:r>
      <w:r>
        <w:t xml:space="preserve">minimale</w:t>
      </w:r>
      <w:r>
        <w:t xml:space="preserve"> </w:t>
      </w:r>
      <w:r>
        <w:t xml:space="preserve">dans</w:t>
      </w:r>
      <w:r>
        <w:t xml:space="preserve"> </w:t>
      </w:r>
      <w:r>
        <w:t xml:space="preserve">13</w:t>
      </w:r>
      <w:r>
        <w:t xml:space="preserve"> </w:t>
      </w:r>
      <w:r>
        <w:t xml:space="preserve">des</w:t>
      </w:r>
      <w:r>
        <w:t xml:space="preserve"> </w:t>
      </w:r>
      <w:r>
        <w:t xml:space="preserve">17</w:t>
      </w:r>
      <w:r>
        <w:t xml:space="preserve"> </w:t>
      </w:r>
      <w:r>
        <w:t xml:space="preserve">cas</w:t>
      </w:r>
      <w:r>
        <w:t xml:space="preserve"> </w:t>
      </w:r>
      <w:r>
        <w:t xml:space="preserve">d’incertitude.</w:t>
      </w:r>
      <w:r>
        <w:t xml:space="preserve"> </w:t>
      </w:r>
      <w:r>
        <w:t xml:space="preserve">Nous</w:t>
      </w:r>
      <w:r>
        <w:t xml:space="preserve"> </w:t>
      </w:r>
      <w:r>
        <w:t xml:space="preserve">montrons</w:t>
      </w:r>
      <w:r>
        <w:t xml:space="preserve"> </w:t>
      </w:r>
      <w:r>
        <w:t xml:space="preserve">enfin</w:t>
      </w:r>
      <w:r>
        <w:t xml:space="preserve"> </w:t>
      </w:r>
      <w:r>
        <w:t xml:space="preserve">que</w:t>
      </w:r>
      <w:r>
        <w:t xml:space="preserve"> </w:t>
      </w:r>
      <w:r>
        <w:t xml:space="preserve">des</w:t>
      </w:r>
      <w:r>
        <w:t xml:space="preserve"> </w:t>
      </w:r>
      <w:r>
        <w:t xml:space="preserve">correcteurs</w:t>
      </w:r>
      <w:r>
        <w:t xml:space="preserve"> </w:t>
      </w:r>
      <w:r>
        <w:t xml:space="preserve">faisables</w:t>
      </w:r>
      <w:r>
        <w:t xml:space="preserve"> </w:t>
      </w:r>
      <w:r>
        <w:t xml:space="preserve">au</w:t>
      </w:r>
      <w:r>
        <w:t xml:space="preserve"> </w:t>
      </w:r>
      <w:r>
        <w:t xml:space="preserve">sens</w:t>
      </w:r>
      <w:r>
        <w:t xml:space="preserve"> </w:t>
      </w:r>
      <w:r>
        <w:t xml:space="preserve">des</w:t>
      </w:r>
      <w:r>
        <w:t xml:space="preserve"> </w:t>
      </w:r>
      <w:r>
        <w:t xml:space="preserve">six</w:t>
      </w:r>
      <w:r>
        <w:t xml:space="preserve"> </w:t>
      </w:r>
      <w:r>
        <w:t xml:space="preserve">contraintes</w:t>
      </w:r>
      <w:r>
        <w:t xml:space="preserve"> </w:t>
      </w:r>
      <w:r>
        <w:t xml:space="preserve">peuvent</w:t>
      </w:r>
      <w:r>
        <w:t xml:space="preserve"> </w:t>
      </w:r>
      <w:r>
        <w:t xml:space="preserve">entretenir</w:t>
      </w:r>
      <w:r>
        <w:t xml:space="preserve"> </w:t>
      </w:r>
      <w:r>
        <w:t xml:space="preserve">un</w:t>
      </w:r>
      <w:r>
        <w:t xml:space="preserve"> </w:t>
      </w:r>
      <w:r>
        <w:t xml:space="preserve">cycle</w:t>
      </w:r>
      <w:r>
        <w:t xml:space="preserve"> </w:t>
      </w:r>
      <w:r>
        <w:t xml:space="preserve">limite</w:t>
      </w:r>
      <w:r>
        <w:t xml:space="preserve"> </w:t>
      </w:r>
      <w:r>
        <w:t xml:space="preserve">que</w:t>
      </w:r>
      <w:r>
        <w:t xml:space="preserve"> </w:t>
      </w:r>
      <w:r>
        <w:t xml:space="preserve">ces</w:t>
      </w:r>
      <w:r>
        <w:t xml:space="preserve"> </w:t>
      </w:r>
      <w:r>
        <w:t xml:space="preserve">contraintes</w:t>
      </w:r>
      <w:r>
        <w:t xml:space="preserve"> </w:t>
      </w:r>
      <w:r>
        <w:t xml:space="preserve">ne</w:t>
      </w:r>
      <w:r>
        <w:t xml:space="preserve"> </w:t>
      </w:r>
      <w:r>
        <w:t xml:space="preserve">voient</w:t>
      </w:r>
      <w:r>
        <w:t xml:space="preserve"> </w:t>
      </w:r>
      <w:r>
        <w:t xml:space="preserve">pas.</w:t>
      </w:r>
      <w:r>
        <w:t xml:space="preserve"> </w:t>
      </w:r>
      <w:r>
        <w:t xml:space="preserve">Ces</w:t>
      </w:r>
      <w:r>
        <w:t xml:space="preserve"> </w:t>
      </w:r>
      <w:r>
        <w:t xml:space="preserve">résultats</w:t>
      </w:r>
      <w:r>
        <w:t xml:space="preserve"> </w:t>
      </w:r>
      <w:r>
        <w:t xml:space="preserve">portent</w:t>
      </w:r>
      <w:r>
        <w:t xml:space="preserve"> </w:t>
      </w:r>
      <w:r>
        <w:t xml:space="preserve">sur</w:t>
      </w:r>
      <w:r>
        <w:t xml:space="preserve"> </w:t>
      </w:r>
      <w:r>
        <w:t xml:space="preserve">un</w:t>
      </w:r>
      <w:r>
        <w:t xml:space="preserve"> </w:t>
      </w:r>
      <w:r>
        <w:t xml:space="preserve">modèle</w:t>
      </w:r>
      <w:r>
        <w:t xml:space="preserve"> </w:t>
      </w:r>
      <w:r>
        <w:t xml:space="preserve">simulé</w:t>
      </w:r>
      <w:r>
        <w:t xml:space="preserve"> </w:t>
      </w:r>
      <w:r>
        <w:t xml:space="preserve">et</w:t>
      </w:r>
      <w:r>
        <w:t xml:space="preserve"> </w:t>
      </w:r>
      <w:r>
        <w:t xml:space="preserve">un</w:t>
      </w:r>
      <w:r>
        <w:t xml:space="preserve"> </w:t>
      </w:r>
      <w:r>
        <w:t xml:space="preserve">ensemble</w:t>
      </w:r>
      <w:r>
        <w:t xml:space="preserve"> </w:t>
      </w:r>
      <w:r>
        <w:t xml:space="preserve">fini</w:t>
      </w:r>
      <w:r>
        <w:t xml:space="preserve"> </w:t>
      </w:r>
      <w:r>
        <w:t xml:space="preserve">de</w:t>
      </w:r>
      <w:r>
        <w:t xml:space="preserve"> </w:t>
      </w:r>
      <w:r>
        <w:t xml:space="preserve">cas</w:t>
      </w:r>
      <w:r>
        <w:t xml:space="preserve"> </w:t>
      </w:r>
      <w:r>
        <w:t xml:space="preserve">;</w:t>
      </w:r>
      <w:r>
        <w:t xml:space="preserve"> </w:t>
      </w:r>
      <w:r>
        <w:t xml:space="preserve">ils</w:t>
      </w:r>
      <w:r>
        <w:t xml:space="preserve"> </w:t>
      </w:r>
      <w:r>
        <w:t xml:space="preserve">ne</w:t>
      </w:r>
      <w:r>
        <w:t xml:space="preserve"> </w:t>
      </w:r>
      <w:r>
        <w:t xml:space="preserve">constituent</w:t>
      </w:r>
      <w:r>
        <w:t xml:space="preserve"> </w:t>
      </w:r>
      <w:r>
        <w:t xml:space="preserve">ni</w:t>
      </w:r>
      <w:r>
        <w:t xml:space="preserve"> </w:t>
      </w:r>
      <w:r>
        <w:t xml:space="preserve">un</w:t>
      </w:r>
      <w:r>
        <w:t xml:space="preserve"> </w:t>
      </w:r>
      <w:r>
        <w:t xml:space="preserve">certificat</w:t>
      </w:r>
      <w:r>
        <w:t xml:space="preserve"> </w:t>
      </w:r>
      <w:r>
        <w:t xml:space="preserve">de</w:t>
      </w:r>
      <w:r>
        <w:t xml:space="preserve"> </w:t>
      </w:r>
      <w:r>
        <w:t xml:space="preserve">robustesse</w:t>
      </w:r>
      <w:r>
        <w:t xml:space="preserve"> </w:t>
      </w:r>
      <w:r>
        <w:t xml:space="preserve">ni</w:t>
      </w:r>
      <w:r>
        <w:t xml:space="preserve"> </w:t>
      </w:r>
      <w:r>
        <w:t xml:space="preserve">une</w:t>
      </w:r>
      <w:r>
        <w:t xml:space="preserve"> </w:t>
      </w:r>
      <w:r>
        <w:t xml:space="preserve">preuve</w:t>
      </w:r>
      <w:r>
        <w:t xml:space="preserve"> </w:t>
      </w:r>
      <w:r>
        <w:t xml:space="preserve">d’infaisabilité.</w:t>
      </w:r>
    </w:p>
    <w:p>
      <w:pPr>
        <w:pStyle w:val="FirstParagraph"/>
      </w:pPr>
      <w:r>
        <w:rPr>
          <w:bCs/>
          <w:b/>
        </w:rPr>
        <w:t xml:space="preserve">Mots-clés :</w:t>
      </w:r>
      <w:r>
        <w:t xml:space="preserve"> </w:t>
      </w:r>
      <w:r>
        <w:t xml:space="preserve">convertisseur Buck ; commande d’ordre</w:t>
      </w:r>
      <w:r>
        <w:t xml:space="preserve"> </w:t>
      </w:r>
      <w:r>
        <w:t xml:space="preserve">fractionnaire ; FO-LQI ; FO-PIDF ; métaheuristiques ; audit de paramétrisation ;</w:t>
      </w:r>
      <w:r>
        <w:t xml:space="preserve"> </w:t>
      </w:r>
      <w:r>
        <w:t xml:space="preserve">conduction discontinue ; reproductibilité.</w:t>
      </w:r>
    </w:p>
    <w:bookmarkStart w:id="22" w:name="sec:intro"/>
    <w:p>
      <w:pPr>
        <w:pStyle w:val="Heading1"/>
      </w:pPr>
      <w:r>
        <w:t xml:space="preserve">Introduction</w:t>
      </w:r>
    </w:p>
    <w:p>
      <w:pPr>
        <w:pStyle w:val="FirstParagraph"/>
      </w:pPr>
      <w:r>
        <w:t xml:space="preserve">Les correcteurs d’ordre fractionnaire promettent un réglage plus fin que leurs</w:t>
      </w:r>
      <w:r>
        <w:t xml:space="preserve"> </w:t>
      </w:r>
      <w:r>
        <w:t xml:space="preserve">homologues entiers, au prix de degrés de liberté supplémentaires que l’on</w:t>
      </w:r>
      <w:r>
        <w:t xml:space="preserve"> </w:t>
      </w:r>
      <w:r>
        <w:t xml:space="preserve">confie volontiers à des métaheuristiques. Pour un convertisseur de puissance,</w:t>
      </w:r>
      <w:r>
        <w:t xml:space="preserve"> </w:t>
      </w:r>
      <w:r>
        <w:t xml:space="preserve">cette promesse se heurte à trois réalités de mise en œuvre : l’échantillonnage</w:t>
      </w:r>
      <w:r>
        <w:t xml:space="preserve"> </w:t>
      </w:r>
      <w:r>
        <w:t xml:space="preserve">et le retard, la saturation d’actionneur et l’anti-emballement, et</w:t>
      </w:r>
      <w:r>
        <w:t xml:space="preserve"> </w:t>
      </w:r>
      <w:r>
        <w:t xml:space="preserve">l’approximation rationnelle des opérateurs fractionnaires.</w:t>
      </w:r>
    </w:p>
    <w:p>
      <w:pPr>
        <w:pStyle w:val="BodyText"/>
      </w:pPr>
      <w:r>
        <w:t xml:space="preserve">L’étude part d’un échec documenté. Une campagne FO-LQI</w:t>
      </w:r>
      <w:r>
        <w:t xml:space="preserve"> </w:t>
      </w:r>
      <m:oMath>
        <m:r>
          <m:rPr>
            <m:sty m:val="p"/>
          </m:rPr>
          <m:t>→</m:t>
        </m:r>
      </m:oMath>
      <w:r>
        <w:t xml:space="preserve"> </w:t>
      </w:r>
      <w:r>
        <w:t xml:space="preserve">FO-PIDF sur un</w:t>
      </w:r>
      <w:r>
        <w:t xml:space="preserve"> </w:t>
      </w:r>
      <w:r>
        <w:t xml:space="preserve">Buck non idéal de 48 V a consommé plus de 1800 évaluations réparties sur six</w:t>
      </w:r>
      <w:r>
        <w:t xml:space="preserve"> </w:t>
      </w:r>
      <w:r>
        <w:t xml:space="preserve">algorithmes sans jamais atteindre la faisabilité robuste. Le diagnostic</w:t>
      </w:r>
      <w:r>
        <w:t xml:space="preserve"> </w:t>
      </w:r>
      <w:r>
        <w:t xml:space="preserve">retenu à l’époque mettait en cause l’écrêtage du gain proportionnel projeté</w:t>
      </w:r>
      <w:r>
        <w:t xml:space="preserve"> </w:t>
      </w:r>
      <w:r>
        <w:t xml:space="preserve">sur la borne</w:t>
      </w:r>
      <w:r>
        <w:t xml:space="preserve"> </w:t>
      </w:r>
      <m:oMath>
        <m:sSub>
          <m:e>
            <m:r>
              <m:rPr>
                <m:sty m:val="p"/>
              </m:rPr>
              <m:t>log</m:t>
            </m:r>
          </m:e>
          <m:sub>
            <m:r>
              <m:t>10</m:t>
            </m:r>
          </m:sub>
        </m:sSub>
        <m:sSub>
          <m:e>
            <m:r>
              <m:t>k</m:t>
            </m:r>
          </m:e>
          <m:sub>
            <m:r>
              <m:t>p</m:t>
            </m:r>
          </m:sub>
        </m:sSub>
        <m:r>
          <m:rPr>
            <m:sty m:val="p"/>
          </m:rPr>
          <m:t>=</m:t>
        </m:r>
        <m:r>
          <m:rPr>
            <m:sty m:val="p"/>
          </m:rPr>
          <m:t>−</m:t>
        </m:r>
        <m:r>
          <m:t>4</m:t>
        </m:r>
      </m:oMath>
      <w:r>
        <w:t xml:space="preserve">, atteinte dans</w:t>
      </w:r>
      <w:r>
        <w:t xml:space="preserve"> </w:t>
      </w:r>
      <m:oMath>
        <m:r>
          <m:t>79</m:t>
        </m:r>
        <m:r>
          <m:t> </m:t>
        </m:r>
        <m:r>
          <m:rPr>
            <m:sty m:val="p"/>
          </m:rPr>
          <m:t>%</m:t>
        </m:r>
      </m:oMath>
      <w:r>
        <w:t xml:space="preserve"> </w:t>
      </w:r>
      <w:r>
        <w:t xml:space="preserve">des candidats.</w:t>
      </w:r>
    </w:p>
    <w:bookmarkStart w:id="20" w:name="question-de-méthode."/>
    <w:p>
      <w:pPr>
        <w:pStyle w:val="Heading4"/>
      </w:pPr>
      <w:r>
        <w:t xml:space="preserve">Question de méthode.</w:t>
      </w:r>
    </w:p>
    <w:p>
      <w:pPr>
        <w:pStyle w:val="FirstParagraph"/>
      </w:pPr>
      <w:r>
        <w:t xml:space="preserve">Lorsqu’une recherche paramétrique échoue, comment déterminer si l’échec</w:t>
      </w:r>
      <w:r>
        <w:t xml:space="preserve"> </w:t>
      </w:r>
      <w:r>
        <w:t xml:space="preserve">vient de l’algorithme, de la paramétrisation, ou du problème lui-même ? Nous</w:t>
      </w:r>
      <w:r>
        <w:t xml:space="preserve"> </w:t>
      </w:r>
      <w:r>
        <w:t xml:space="preserve">répondons par un protocole en trois temps : un audit de saturation des bornes</w:t>
      </w:r>
      <w:r>
        <w:t xml:space="preserve"> </w:t>
      </w:r>
      <w:r>
        <w:t xml:space="preserve">qui sépare saturations structurelles et pathologiques ; des sondes conjointes</w:t>
      </w:r>
      <w:r>
        <w:t xml:space="preserve"> </w:t>
      </w:r>
      <w:r>
        <w:t xml:space="preserve">dans l’espace du correcteur, qui testent l’accessibilité de la région</w:t>
      </w:r>
      <w:r>
        <w:t xml:space="preserve"> </w:t>
      </w:r>
      <w:r>
        <w:t xml:space="preserve">faisable indépendamment de la paramétrisation ; une campagne confirmatoire</w:t>
      </w:r>
      <w:r>
        <w:t xml:space="preserve"> </w:t>
      </w:r>
      <w:r>
        <w:t xml:space="preserve">préenregistrée qui mesure l’échec avec les statistiques qui conviennent, au</w:t>
      </w:r>
      <w:r>
        <w:t xml:space="preserve"> </w:t>
      </w:r>
      <w:r>
        <w:t xml:space="preserve">lieu de le supposer.</w:t>
      </w:r>
    </w:p>
    <w:bookmarkEnd w:id="20"/>
    <w:bookmarkStart w:id="21" w:name="contributions."/>
    <w:p>
      <w:pPr>
        <w:pStyle w:val="Heading4"/>
      </w:pPr>
      <w:r>
        <w:t xml:space="preserve">Contributions.</w:t>
      </w:r>
    </w:p>
    <w:p>
      <w:pPr>
        <w:numPr>
          <w:ilvl w:val="0"/>
          <w:numId w:val="1001"/>
        </w:numPr>
      </w:pPr>
      <w:r>
        <w:t xml:space="preserve">Un audit de saturation des bornes de paramétrisation, qui montre ici</w:t>
      </w:r>
      <w:r>
        <w:t xml:space="preserve"> </w:t>
      </w:r>
      <w:r>
        <w:t xml:space="preserve">que l’écrêtage de</w:t>
      </w:r>
      <w:r>
        <w:t xml:space="preserve"> </w:t>
      </w:r>
      <m:oMath>
        <m:sSub>
          <m:e>
            <m:r>
              <m:t>k</m:t>
            </m:r>
          </m:e>
          <m:sub>
            <m:r>
              <m:t>p</m:t>
            </m:r>
          </m:sub>
        </m:sSub>
      </m:oMath>
      <w:r>
        <w:t xml:space="preserve"> </w:t>
      </w:r>
      <w:r>
        <w:t xml:space="preserve">n’est pas la cause de l’échec antérieur.</w:t>
      </w:r>
    </w:p>
    <w:p>
      <w:pPr>
        <w:numPr>
          <w:ilvl w:val="0"/>
          <w:numId w:val="1001"/>
        </w:numPr>
      </w:pPr>
      <w:r>
        <w:t xml:space="preserve">Une chaîne FO-LQI</w:t>
      </w:r>
      <w:r>
        <w:t xml:space="preserve"> </w:t>
      </w:r>
      <m:oMath>
        <m:r>
          <m:rPr>
            <m:sty m:val="p"/>
          </m:rPr>
          <m:t>→</m:t>
        </m:r>
      </m:oMath>
      <w:r>
        <w:t xml:space="preserve"> </w:t>
      </w:r>
      <w:r>
        <w:t xml:space="preserve">FO-PIDF reconstruite et vérifiée : la</w:t>
      </w:r>
      <w:r>
        <w:t xml:space="preserve"> </w:t>
      </w:r>
      <w:r>
        <w:t xml:space="preserve">projection reproduit l’identité exacte en ordre entier et mesure son</w:t>
      </w:r>
      <w:r>
        <w:t xml:space="preserve"> </w:t>
      </w:r>
      <w:r>
        <w:t xml:space="preserve">erreur hors de ce domaine.</w:t>
      </w:r>
    </w:p>
    <w:p>
      <w:pPr>
        <w:numPr>
          <w:ilvl w:val="0"/>
          <w:numId w:val="1001"/>
        </w:numPr>
      </w:pPr>
      <w:r>
        <w:t xml:space="preserve">Une campagne confirmatoire préenregistrée en trois bras, dont les</w:t>
      </w:r>
      <w:r>
        <w:t xml:space="preserve"> </w:t>
      </w:r>
      <w:r>
        <w:t xml:space="preserve">résultats négatifs sont rapportés intégralement, graines stériles comprises.</w:t>
      </w:r>
    </w:p>
    <w:p>
      <w:pPr>
        <w:numPr>
          <w:ilvl w:val="0"/>
          <w:numId w:val="1001"/>
        </w:numPr>
      </w:pPr>
      <w:r>
        <w:t xml:space="preserve">L’identification d’un verrou physique indépendant du correcteur (le</w:t>
      </w:r>
      <w:r>
        <w:t xml:space="preserve"> </w:t>
      </w:r>
      <w:r>
        <w:t xml:space="preserve">plancher de tension à rapport cyclique minimal) et d’un angle mort du</w:t>
      </w:r>
      <w:r>
        <w:t xml:space="preserve"> </w:t>
      </w:r>
      <w:r>
        <w:t xml:space="preserve">cahier des charges (les cycles limites invisibles aux contraintes).</w:t>
      </w:r>
    </w:p>
    <w:bookmarkEnd w:id="21"/>
    <w:bookmarkEnd w:id="22"/>
    <w:bookmarkStart w:id="41" w:name="sec:methode"/>
    <w:p>
      <w:pPr>
        <w:pStyle w:val="Heading1"/>
      </w:pPr>
      <w:r>
        <w:t xml:space="preserve">Méthode</w:t>
      </w:r>
    </w:p>
    <w:bookmarkStart w:id="24" w:name="sec:systeme"/>
    <w:p>
      <w:pPr>
        <w:pStyle w:val="Heading2"/>
      </w:pPr>
      <w:r>
        <w:t xml:space="preserve">Système, mission et invariants</w:t>
      </w:r>
    </w:p>
    <w:p>
      <w:pPr>
        <w:pStyle w:val="FirstParagraph"/>
      </w:pPr>
      <w:r>
        <w:t xml:space="preserve">Le convertisseur est un abaisseur (Buck) asynchrone non idéal,</w:t>
      </w:r>
      <w:r>
        <w:t xml:space="preserve"> </w:t>
      </w:r>
      <w:r>
        <w:rPr>
          <w:iCs/>
          <w:i/>
        </w:rPr>
        <w:t xml:space="preserve">physiquement</w:t>
      </w:r>
      <w:r>
        <w:rPr>
          <w:iCs/>
          <w:i/>
        </w:rPr>
        <w:t xml:space="preserve"> </w:t>
      </w:r>
      <w:r>
        <w:rPr>
          <w:iCs/>
          <w:i/>
        </w:rPr>
        <w:t xml:space="preserve">d’ordre entier</w:t>
      </w:r>
      <w:r>
        <w:t xml:space="preserve">, alimenté par une source fixe</w:t>
      </w:r>
      <w:r>
        <w:t xml:space="preserve"> </w:t>
      </w:r>
      <m:oMath>
        <m:sSub>
          <m:e>
            <m:r>
              <m:t>V</m:t>
            </m:r>
          </m:e>
          <m:sub>
            <m:r>
              <m:rPr>
                <m:sty m:val="p"/>
              </m:rPr>
              <m:t>i</m:t>
            </m:r>
            <m:r>
              <m:rPr>
                <m:sty m:val="p"/>
              </m:rPr>
              <m:t>n</m:t>
            </m:r>
          </m:sub>
        </m:sSub>
        <m:r>
          <m:rPr>
            <m:sty m:val="p"/>
          </m:rPr>
          <m:t>=</m:t>
        </m:r>
        <m:r>
          <m:t>48</m:t>
        </m:r>
      </m:oMath>
      <w:r>
        <w:t xml:space="preserve"> V, avec</w:t>
      </w:r>
      <w:r>
        <w:t xml:space="preserve"> </w:t>
      </w:r>
      <m:oMath>
        <m:r>
          <m:t>L</m:t>
        </m:r>
        <m:r>
          <m:rPr>
            <m:sty m:val="p"/>
          </m:rPr>
          <m:t>=</m:t>
        </m:r>
        <m:r>
          <m:t>100</m:t>
        </m:r>
        <m:r>
          <m:t> </m:t>
        </m:r>
        <m:r>
          <m:t>μ</m:t>
        </m:r>
      </m:oMath>
      <w:r>
        <w:t xml:space="preserve">H,</w:t>
      </w:r>
      <w:r>
        <w:t xml:space="preserve"> </w:t>
      </w:r>
      <m:oMath>
        <m:r>
          <m:t>C</m:t>
        </m:r>
        <m:r>
          <m:rPr>
            <m:sty m:val="p"/>
          </m:rPr>
          <m:t>=</m:t>
        </m:r>
        <m:r>
          <m:t>100</m:t>
        </m:r>
        <m:r>
          <m:t> </m:t>
        </m:r>
        <m:r>
          <m:t>μ</m:t>
        </m:r>
      </m:oMath>
      <w:r>
        <w:t xml:space="preserve">F,</w:t>
      </w:r>
      <w:r>
        <w:t xml:space="preserve"> </w:t>
      </w:r>
      <m:oMath>
        <m:r>
          <m:t>R</m:t>
        </m:r>
        <m:r>
          <m:rPr>
            <m:sty m:val="p"/>
          </m:rPr>
          <m:t>=</m:t>
        </m:r>
        <m:r>
          <m:t>10</m:t>
        </m:r>
        <m:r>
          <m:t> </m:t>
        </m:r>
        <m:r>
          <m:t>Ω</m:t>
        </m:r>
      </m:oMath>
      <w:r>
        <w:t xml:space="preserve">,</w:t>
      </w:r>
      <w:r>
        <w:t xml:space="preserve"> </w:t>
      </w:r>
      <m:oMath>
        <m:sSub>
          <m:e>
            <m:r>
              <m:t>r</m:t>
            </m:r>
          </m:e>
          <m:sub>
            <m:r>
              <m:t>L</m:t>
            </m:r>
          </m:sub>
        </m:sSub>
        <m:r>
          <m:rPr>
            <m:sty m:val="p"/>
          </m:rPr>
          <m:t>=</m:t>
        </m:r>
        <m:r>
          <m:t>0</m:t>
        </m:r>
        <m:r>
          <m:rPr>
            <m:sty m:val="p"/>
          </m:rPr>
          <m:t>,</m:t>
        </m:r>
        <m:r>
          <m:t>1</m:t>
        </m:r>
        <m:r>
          <m:t> </m:t>
        </m:r>
        <m:r>
          <m:t>Ω</m:t>
        </m:r>
      </m:oMath>
      <w:r>
        <w:t xml:space="preserve">,</w:t>
      </w:r>
      <w:r>
        <w:t xml:space="preserve"> </w:t>
      </w:r>
      <m:oMath>
        <m:sSub>
          <m:e>
            <m:r>
              <m:t>r</m:t>
            </m:r>
          </m:e>
          <m:sub>
            <m:r>
              <m:t>C</m:t>
            </m:r>
          </m:sub>
        </m:sSub>
        <m:r>
          <m:rPr>
            <m:sty m:val="p"/>
          </m:rPr>
          <m:t>=</m:t>
        </m:r>
        <m:r>
          <m:t>0</m:t>
        </m:r>
        <m:r>
          <m:rPr>
            <m:sty m:val="p"/>
          </m:rPr>
          <m:t>,</m:t>
        </m:r>
        <m:r>
          <m:t>05</m:t>
        </m:r>
        <m:r>
          <m:t> </m:t>
        </m:r>
        <m:r>
          <m:t>Ω</m:t>
        </m:r>
      </m:oMath>
      <w:r>
        <w:t xml:space="preserve">,</w:t>
      </w:r>
      <w:r>
        <w:t xml:space="preserve"> </w:t>
      </w:r>
      <m:oMath>
        <m:sSub>
          <m:e>
            <m:r>
              <m:t>R</m:t>
            </m:r>
          </m:e>
          <m:sub>
            <m:r>
              <m:rPr>
                <m:sty m:val="p"/>
              </m:rPr>
              <m:t>o</m:t>
            </m:r>
            <m:r>
              <m:rPr>
                <m:sty m:val="p"/>
              </m:rPr>
              <m:t>n</m:t>
            </m:r>
          </m:sub>
        </m:sSub>
        <m:r>
          <m:rPr>
            <m:sty m:val="p"/>
          </m:rPr>
          <m:t>=</m:t>
        </m:r>
        <m:r>
          <m:t>0</m:t>
        </m:r>
        <m:r>
          <m:rPr>
            <m:sty m:val="p"/>
          </m:rPr>
          <m:t>,</m:t>
        </m:r>
        <m:r>
          <m:t>05</m:t>
        </m:r>
        <m:r>
          <m:t> </m:t>
        </m:r>
        <m:r>
          <m:t>Ω</m:t>
        </m:r>
      </m:oMath>
      <w:r>
        <w:t xml:space="preserve"> </w:t>
      </w:r>
      <w:r>
        <w:t xml:space="preserve">et une diode de roue libre de loi affine</w:t>
      </w:r>
      <w:r>
        <w:t xml:space="preserve"> </w:t>
      </w:r>
      <m:oMath>
        <m:sSub>
          <m:e>
            <m:r>
              <m:t>v</m:t>
            </m:r>
          </m:e>
          <m:sub>
            <m:r>
              <m:t>D</m:t>
            </m:r>
          </m:sub>
        </m:sSub>
        <m:r>
          <m:rPr>
            <m:sty m:val="p"/>
          </m:rPr>
          <m:t>=</m:t>
        </m:r>
        <m:sSub>
          <m:e>
            <m:r>
              <m:t>V</m:t>
            </m:r>
          </m:e>
          <m:sub>
            <m:r>
              <m:t>f</m:t>
            </m:r>
          </m:sub>
        </m:sSub>
        <m:r>
          <m:rPr>
            <m:sty m:val="p"/>
          </m:rPr>
          <m:t>+</m:t>
        </m:r>
        <m:sSub>
          <m:e>
            <m:r>
              <m:t>r</m:t>
            </m:r>
          </m:e>
          <m:sub>
            <m:r>
              <m:t>d</m:t>
            </m:r>
          </m:sub>
        </m:sSub>
        <m:r>
          <m:t> </m:t>
        </m:r>
        <m:sSub>
          <m:e>
            <m:r>
              <m:t>i</m:t>
            </m:r>
          </m:e>
          <m:sub>
            <m:r>
              <m:t>D</m:t>
            </m:r>
          </m:sub>
        </m:sSub>
      </m:oMath>
      <w:r>
        <w:t xml:space="preserve">,</w:t>
      </w:r>
      <w:r>
        <w:t xml:space="preserve"> </w:t>
      </w:r>
      <m:oMath>
        <m:sSub>
          <m:e>
            <m:r>
              <m:t>V</m:t>
            </m:r>
          </m:e>
          <m:sub>
            <m:r>
              <m:t>f</m:t>
            </m:r>
          </m:sub>
        </m:sSub>
        <m:r>
          <m:rPr>
            <m:sty m:val="p"/>
          </m:rPr>
          <m:t>=</m:t>
        </m:r>
        <m:r>
          <m:t>0</m:t>
        </m:r>
        <m:r>
          <m:rPr>
            <m:sty m:val="p"/>
          </m:rPr>
          <m:t>,</m:t>
        </m:r>
        <m:r>
          <m:t>42</m:t>
        </m:r>
      </m:oMath>
      <w:r>
        <w:t xml:space="preserve"> V,</w:t>
      </w:r>
      <w:r>
        <w:t xml:space="preserve"> </w:t>
      </w:r>
      <m:oMath>
        <m:sSub>
          <m:e>
            <m:r>
              <m:t>r</m:t>
            </m:r>
          </m:e>
          <m:sub>
            <m:r>
              <m:t>d</m:t>
            </m:r>
          </m:sub>
        </m:sSub>
        <m:r>
          <m:rPr>
            <m:sty m:val="p"/>
          </m:rPr>
          <m:t>=</m:t>
        </m:r>
        <m:r>
          <m:t>0</m:t>
        </m:r>
        <m:r>
          <m:rPr>
            <m:sty m:val="p"/>
          </m:rPr>
          <m:t>,</m:t>
        </m:r>
        <m:r>
          <m:t>020</m:t>
        </m:r>
        <m:r>
          <m:t> </m:t>
        </m:r>
        <m:r>
          <m:t>Ω</m:t>
        </m:r>
      </m:oMath>
      <w:r>
        <w:t xml:space="preserve">. La fractionnalité</w:t>
      </w:r>
      <w:r>
        <w:t xml:space="preserve"> </w:t>
      </w:r>
      <w:r>
        <w:t xml:space="preserve">appartient exclusivement au correcteur.</w:t>
      </w:r>
    </w:p>
    <w:p>
      <w:pPr>
        <w:pStyle w:val="BodyText"/>
      </w:pPr>
      <w:r>
        <w:t xml:space="preserve">La mission imposée est</w:t>
      </w:r>
      <w:r>
        <w:t xml:space="preserve"> </w:t>
      </w:r>
      <m:oMath>
        <m:r>
          <m:t>24</m:t>
        </m:r>
        <m:r>
          <m:rPr>
            <m:sty m:val="p"/>
          </m:rPr>
          <m:t>→</m:t>
        </m:r>
        <m:r>
          <m:t>1</m:t>
        </m:r>
        <m:r>
          <m:rPr>
            <m:sty m:val="p"/>
          </m:rPr>
          <m:t>→</m:t>
        </m:r>
        <m:r>
          <m:t>46</m:t>
        </m:r>
      </m:oMath>
      <w:r>
        <w:t xml:space="preserve"> V, avec transitions à</w:t>
      </w:r>
      <w:r>
        <w:t xml:space="preserve"> </w:t>
      </w:r>
      <m:oMath>
        <m:r>
          <m:t>0</m:t>
        </m:r>
        <m:r>
          <m:rPr>
            <m:sty m:val="p"/>
          </m:rPr>
          <m:t>,</m:t>
        </m:r>
        <m:r>
          <m:t>108</m:t>
        </m:r>
      </m:oMath>
      <w:r>
        <w:t xml:space="preserve"> </w:t>
      </w:r>
      <w:r>
        <w:t xml:space="preserve">et</w:t>
      </w:r>
      <w:r>
        <w:t xml:space="preserve"> </w:t>
      </w:r>
      <m:oMath>
        <m:r>
          <m:t>0</m:t>
        </m:r>
        <m:r>
          <m:rPr>
            <m:sty m:val="p"/>
          </m:rPr>
          <m:t>,</m:t>
        </m:r>
        <m:r>
          <m:t>216</m:t>
        </m:r>
      </m:oMath>
      <w:r>
        <w:t xml:space="preserve"> s et fin à</w:t>
      </w:r>
      <w:r>
        <w:t xml:space="preserve"> </w:t>
      </w:r>
      <m:oMath>
        <m:r>
          <m:t>0</m:t>
        </m:r>
        <m:r>
          <m:rPr>
            <m:sty m:val="p"/>
          </m:rPr>
          <m:t>,</m:t>
        </m:r>
        <m:r>
          <m:t>324</m:t>
        </m:r>
      </m:oMath>
      <w:r>
        <w:t xml:space="preserve"> s, une perturbation de charge de</w:t>
      </w:r>
      <w:r>
        <w:t xml:space="preserve"> </w:t>
      </w:r>
      <m:oMath>
        <m:r>
          <m:rPr>
            <m:sty m:val="p"/>
          </m:rPr>
          <m:t>+</m:t>
        </m:r>
        <m:r>
          <m:t>0</m:t>
        </m:r>
        <m:r>
          <m:rPr>
            <m:sty m:val="p"/>
          </m:rPr>
          <m:t>,</m:t>
        </m:r>
        <m:r>
          <m:t>5</m:t>
        </m:r>
      </m:oMath>
      <w:r>
        <w:t xml:space="preserve"> A entre</w:t>
      </w:r>
      <w:r>
        <w:t xml:space="preserve"> </w:t>
      </w:r>
      <m:oMath>
        <m:r>
          <m:t>0</m:t>
        </m:r>
        <m:r>
          <m:rPr>
            <m:sty m:val="p"/>
          </m:rPr>
          <m:t>,</m:t>
        </m:r>
        <m:r>
          <m:t>054</m:t>
        </m:r>
      </m:oMath>
      <w:r>
        <w:t xml:space="preserve"> </w:t>
      </w:r>
      <w:r>
        <w:t xml:space="preserve">et</w:t>
      </w:r>
      <w:r>
        <w:t xml:space="preserve"> </w:t>
      </w:r>
      <m:oMath>
        <m:r>
          <m:t>0</m:t>
        </m:r>
        <m:r>
          <m:rPr>
            <m:sty m:val="p"/>
          </m:rPr>
          <m:t>,</m:t>
        </m:r>
        <m:r>
          <m:t>090</m:t>
        </m:r>
      </m:oMath>
      <w:r>
        <w:t xml:space="preserve"> s, et des conditions initiales</w:t>
      </w:r>
      <w:r>
        <w:t xml:space="preserve"> </w:t>
      </w:r>
      <m:oMath>
        <m:d>
          <m:dPr>
            <m:begChr m:val="("/>
            <m:endChr m:val=")"/>
            <m:sepChr m:val=""/>
            <m:grow/>
          </m:dPr>
          <m:e>
            <m:sSub>
              <m:e>
                <m:r>
                  <m:t>i</m:t>
                </m:r>
              </m:e>
              <m:sub>
                <m:r>
                  <m:t>L</m:t>
                </m:r>
              </m:sub>
            </m:sSub>
            <m:r>
              <m:rPr>
                <m:sty m:val="p"/>
              </m:rPr>
              <m:t>,</m:t>
            </m:r>
            <m:sSub>
              <m:e>
                <m:r>
                  <m:t>v</m:t>
                </m:r>
              </m:e>
              <m:sub>
                <m:r>
                  <m:t>C</m:t>
                </m:r>
              </m:sub>
            </m:sSub>
          </m:e>
        </m:d>
        <m:r>
          <m:rPr>
            <m:sty m:val="p"/>
          </m:rPr>
          <m:t>=</m:t>
        </m:r>
        <m:d>
          <m:dPr>
            <m:begChr m:val="("/>
            <m:endChr m:val=")"/>
            <m:sepChr m:val=""/>
            <m:grow/>
          </m:dPr>
          <m:e>
            <m:r>
              <m:t>2</m:t>
            </m:r>
            <m:r>
              <m:rPr>
                <m:sty m:val="p"/>
              </m:rPr>
              <m:t>,</m:t>
            </m:r>
            <m:r>
              <m:t>4</m:t>
            </m:r>
            <m:r>
              <m:t> </m:t>
            </m:r>
            <m:r>
              <m:rPr>
                <m:sty m:val="p"/>
              </m:rPr>
              <m:t>A</m:t>
            </m:r>
            <m:r>
              <m:rPr>
                <m:sty m:val="p"/>
              </m:rPr>
              <m:t>,</m:t>
            </m:r>
            <m:r>
              <m:t>24</m:t>
            </m:r>
            <m:r>
              <m:t> </m:t>
            </m:r>
            <m:r>
              <m:rPr>
                <m:sty m:val="p"/>
              </m:rPr>
              <m:t>V</m:t>
            </m:r>
          </m:e>
        </m:d>
      </m:oMath>
      <w:r>
        <w:t xml:space="preserve"> </w:t>
      </w:r>
      <w:r>
        <w:t xml:space="preserve">en toutes circonstances. Le correcteur est échantillonné à</w:t>
      </w:r>
      <w:r>
        <w:t xml:space="preserve"> </w:t>
      </w:r>
      <m:oMath>
        <m:sSub>
          <m:e>
            <m:r>
              <m:t>T</m:t>
            </m:r>
          </m:e>
          <m:sub>
            <m:r>
              <m:t>s</m:t>
            </m:r>
          </m:sub>
        </m:sSub>
        <m:r>
          <m:rPr>
            <m:sty m:val="p"/>
          </m:rPr>
          <m:t>=</m:t>
        </m:r>
        <m:r>
          <m:t>10</m:t>
        </m:r>
        <m:r>
          <m:t> </m:t>
        </m:r>
        <m:r>
          <m:t>μ</m:t>
        </m:r>
      </m:oMath>
      <w:r>
        <w:t xml:space="preserve">s avec un retard d’un échantillon ; la MLI est à</w:t>
      </w:r>
      <w:r>
        <w:t xml:space="preserve"> </w:t>
      </w:r>
      <m:oMath>
        <m:r>
          <m:t>50</m:t>
        </m:r>
      </m:oMath>
      <w:r>
        <w:t xml:space="preserve"> kHz et le</w:t>
      </w:r>
      <w:r>
        <w:t xml:space="preserve"> </w:t>
      </w:r>
      <w:r>
        <w:t xml:space="preserve">rapport cyclique est borné à</w:t>
      </w:r>
      <w:r>
        <w:t xml:space="preserve"> </w:t>
      </w:r>
      <m:oMath>
        <m:d>
          <m:dPr>
            <m:begChr m:val="["/>
            <m:endChr m:val="]"/>
            <m:sepChr m:val=""/>
            <m:grow/>
          </m:dPr>
          <m:e>
            <m:r>
              <m:t>0</m:t>
            </m:r>
            <m:r>
              <m:rPr>
                <m:sty m:val="p"/>
              </m:rPr>
              <m:t>,</m:t>
            </m:r>
            <m:r>
              <m:t>02</m:t>
            </m:r>
            <m:r>
              <m:rPr>
                <m:sty m:val="p"/>
              </m:rPr>
              <m:t>;</m:t>
            </m:r>
            <m:r>
              <m:t>0</m:t>
            </m:r>
            <m:r>
              <m:rPr>
                <m:sty m:val="p"/>
              </m:rPr>
              <m:t>,</m:t>
            </m:r>
            <m:r>
              <m:t>98</m:t>
            </m:r>
          </m:e>
        </m:d>
      </m:oMath>
      <w:r>
        <w:t xml:space="preserve">. L’anticipation nominale</w:t>
      </w:r>
    </w:p>
    <w:p>
      <w:pPr>
        <w:pStyle w:val="BodyText"/>
      </w:pPr>
      <m:oMathPara>
        <m:oMathParaPr>
          <m:jc m:val="center"/>
        </m:oMathParaPr>
        <m:oMath>
          <m:sSub>
            <m:e>
              <m:r>
                <m:t>d</m:t>
              </m:r>
            </m:e>
            <m:sub>
              <m:r>
                <m:rPr>
                  <m:sty m:val="p"/>
                </m:rPr>
                <m:t>f</m:t>
              </m:r>
              <m:r>
                <m:rPr>
                  <m:sty m:val="p"/>
                </m:rPr>
                <m:t>f</m:t>
              </m:r>
            </m:sub>
          </m:sSub>
          <m:r>
            <m:rPr>
              <m:sty m:val="p"/>
            </m:rPr>
            <m:t>=</m:t>
          </m:r>
          <m:f>
            <m:fPr>
              <m:type m:val="bar"/>
            </m:fPr>
            <m:num>
              <m:d>
                <m:dPr>
                  <m:begChr m:val="("/>
                  <m:endChr m:val=")"/>
                  <m:sepChr m:val=""/>
                  <m:grow/>
                </m:dPr>
                <m:e>
                  <m:r>
                    <m:t>R</m:t>
                  </m:r>
                  <m:r>
                    <m:rPr>
                      <m:sty m:val="p"/>
                    </m:rPr>
                    <m:t>+</m:t>
                  </m:r>
                  <m:sSub>
                    <m:e>
                      <m:r>
                        <m:t>r</m:t>
                      </m:r>
                    </m:e>
                    <m:sub>
                      <m:r>
                        <m:t>L</m:t>
                      </m:r>
                    </m:sub>
                  </m:sSub>
                  <m:r>
                    <m:rPr>
                      <m:sty m:val="p"/>
                    </m:rPr>
                    <m:t>+</m:t>
                  </m:r>
                  <m:sSub>
                    <m:e>
                      <m:r>
                        <m:t>r</m:t>
                      </m:r>
                    </m:e>
                    <m:sub>
                      <m:r>
                        <m:t>d</m:t>
                      </m:r>
                    </m:sub>
                  </m:sSub>
                </m:e>
              </m:d>
              <m:r>
                <m:t> </m:t>
              </m:r>
              <m:sSub>
                <m:e>
                  <m:r>
                    <m:t>v</m:t>
                  </m:r>
                </m:e>
                <m:sub>
                  <m:r>
                    <m:rPr>
                      <m:sty m:val="p"/>
                    </m:rPr>
                    <m:t>r</m:t>
                  </m:r>
                  <m:r>
                    <m:rPr>
                      <m:sty m:val="p"/>
                    </m:rPr>
                    <m:t>e</m:t>
                  </m:r>
                  <m:r>
                    <m:rPr>
                      <m:sty m:val="p"/>
                    </m:rPr>
                    <m:t>f</m:t>
                  </m:r>
                </m:sub>
              </m:sSub>
            </m:num>
            <m:den>
              <m:r>
                <m:t>R</m:t>
              </m:r>
              <m:r>
                <m:t> </m:t>
              </m:r>
              <m:sSub>
                <m:e>
                  <m:r>
                    <m:t>V</m:t>
                  </m:r>
                </m:e>
                <m:sub>
                  <m:r>
                    <m:rPr>
                      <m:sty m:val="p"/>
                    </m:rPr>
                    <m:t>i</m:t>
                  </m:r>
                  <m:r>
                    <m:rPr>
                      <m:sty m:val="p"/>
                    </m:rPr>
                    <m:t>n</m:t>
                  </m:r>
                </m:sub>
              </m:sSub>
              <m:r>
                <m:rPr>
                  <m:sty m:val="p"/>
                </m:rPr>
                <m:t>−</m:t>
              </m:r>
              <m:d>
                <m:dPr>
                  <m:begChr m:val="("/>
                  <m:endChr m:val=")"/>
                  <m:sepChr m:val=""/>
                  <m:grow/>
                </m:dPr>
                <m:e>
                  <m:sSub>
                    <m:e>
                      <m:r>
                        <m:t>R</m:t>
                      </m:r>
                    </m:e>
                    <m:sub>
                      <m:r>
                        <m:rPr>
                          <m:sty m:val="p"/>
                        </m:rPr>
                        <m:t>o</m:t>
                      </m:r>
                      <m:r>
                        <m:rPr>
                          <m:sty m:val="p"/>
                        </m:rPr>
                        <m:t>n</m:t>
                      </m:r>
                    </m:sub>
                  </m:sSub>
                  <m:r>
                    <m:rPr>
                      <m:sty m:val="p"/>
                    </m:rPr>
                    <m:t>−</m:t>
                  </m:r>
                  <m:sSub>
                    <m:e>
                      <m:r>
                        <m:t>r</m:t>
                      </m:r>
                    </m:e>
                    <m:sub>
                      <m:r>
                        <m:t>d</m:t>
                      </m:r>
                    </m:sub>
                  </m:sSub>
                </m:e>
              </m:d>
              <m:r>
                <m:t> </m:t>
              </m:r>
              <m:sSub>
                <m:e>
                  <m:r>
                    <m:t>v</m:t>
                  </m:r>
                </m:e>
                <m:sub>
                  <m:r>
                    <m:rPr>
                      <m:sty m:val="p"/>
                    </m:rPr>
                    <m:t>r</m:t>
                  </m:r>
                  <m:r>
                    <m:rPr>
                      <m:sty m:val="p"/>
                    </m:rPr>
                    <m:t>e</m:t>
                  </m:r>
                  <m:r>
                    <m:rPr>
                      <m:sty m:val="p"/>
                    </m:rPr>
                    <m:t>f</m:t>
                  </m:r>
                </m:sub>
              </m:sSub>
            </m:den>
          </m:f>
        </m:oMath>
      </m:oMathPara>
    </w:p>
    <w:p>
      <w:pPr>
        <w:pStyle w:val="FirstParagraph"/>
      </w:pPr>
      <w:r>
        <w:t xml:space="preserve">est conservée sans terme en</w:t>
      </w:r>
      <w:r>
        <w:t xml:space="preserve"> </w:t>
      </w:r>
      <m:oMath>
        <m:sSub>
          <m:e>
            <m:r>
              <m:t>V</m:t>
            </m:r>
          </m:e>
          <m:sub>
            <m:r>
              <m:t>f</m:t>
            </m:r>
          </m:sub>
        </m:sSub>
      </m:oMath>
      <w:r>
        <w:t xml:space="preserve">, variables nominales figées pendant les</w:t>
      </w:r>
      <w:r>
        <w:t xml:space="preserve"> </w:t>
      </w:r>
      <w:r>
        <w:t xml:space="preserve">perturbations.</w:t>
      </w:r>
    </w:p>
    <w:bookmarkStart w:id="23" w:name="coût-et-contraintes."/>
    <w:p>
      <w:pPr>
        <w:pStyle w:val="Heading4"/>
      </w:pPr>
      <w:r>
        <w:t xml:space="preserve">Coût et contraintes.</w:t>
      </w:r>
    </w:p>
    <w:p>
      <w:pPr>
        <w:pStyle w:val="FirstParagraph"/>
      </w:pPr>
      <m:oMathPara>
        <m:oMathParaPr>
          <m:jc m:val="center"/>
        </m:oMathParaPr>
        <m:oMath>
          <m:r>
            <m:t>J</m:t>
          </m:r>
          <m:r>
            <m:rPr>
              <m:sty m:val="p"/>
            </m:rPr>
            <m:t>=</m:t>
          </m:r>
          <m:f>
            <m:fPr>
              <m:type m:val="bar"/>
            </m:fPr>
            <m:num>
              <m:r>
                <m:t>1</m:t>
              </m:r>
            </m:num>
            <m:den>
              <m:r>
                <m:t>T</m:t>
              </m:r>
            </m:den>
          </m:f>
          <m:r>
            <m:t>​</m:t>
          </m:r>
          <m:nary>
            <m:naryPr>
              <m:chr m:val="∫"/>
              <m:limLoc m:val="subSup"/>
              <m:subHide m:val="off"/>
              <m:supHide m:val="off"/>
            </m:naryPr>
            <m:sub>
              <m:r>
                <m:t>0</m:t>
              </m:r>
            </m:sub>
            <m:sup>
              <m:r>
                <m:t>T</m:t>
              </m:r>
            </m:sup>
            <m:e>
              <m:r>
                <m:t>​</m:t>
              </m:r>
            </m:e>
          </m:nary>
          <m:f>
            <m:fPr>
              <m:type m:val="bar"/>
            </m:fPr>
            <m:num>
              <m:d>
                <m:dPr>
                  <m:begChr m:val="|"/>
                  <m:endChr m:val="|"/>
                  <m:sepChr m:val=""/>
                  <m:grow/>
                </m:dPr>
                <m:e>
                  <m:r>
                    <m:t>r</m:t>
                  </m:r>
                  <m:r>
                    <m:rPr>
                      <m:sty m:val="p"/>
                    </m:rPr>
                    <m:t>−</m:t>
                  </m:r>
                  <m:sSub>
                    <m:e>
                      <m:r>
                        <m:t>v</m:t>
                      </m:r>
                    </m:e>
                    <m:sub>
                      <m:r>
                        <m:t>o</m:t>
                      </m:r>
                    </m:sub>
                  </m:sSub>
                </m:e>
              </m:d>
            </m:num>
            <m:den>
              <m:r>
                <m:rPr>
                  <m:sty m:val="p"/>
                </m:rPr>
                <m:t>max</m:t>
              </m:r>
              <m:d>
                <m:dPr>
                  <m:begChr m:val="("/>
                  <m:endChr m:val=")"/>
                  <m:sepChr m:val=""/>
                  <m:grow/>
                </m:dPr>
                <m:e>
                  <m:r>
                    <m:t>r</m:t>
                  </m:r>
                  <m:r>
                    <m:rPr>
                      <m:sty m:val="p"/>
                    </m:rPr>
                    <m:t>,</m:t>
                  </m:r>
                  <m:r>
                    <m:t>1</m:t>
                  </m:r>
                </m:e>
              </m:d>
            </m:den>
          </m:f>
          <m:r>
            <m:t> </m:t>
          </m:r>
          <m:r>
            <m:t>d</m:t>
          </m:r>
          <m:r>
            <m:t>t</m:t>
          </m:r>
          <m:r>
            <m:rPr>
              <m:sty m:val="p"/>
            </m:rPr>
            <m:t>+</m:t>
          </m:r>
          <m:r>
            <m:t>0</m:t>
          </m:r>
          <m:r>
            <m:rPr>
              <m:sty m:val="p"/>
            </m:rPr>
            <m:t>,</m:t>
          </m:r>
          <m:r>
            <m:t>01</m:t>
          </m:r>
          <m:r>
            <m:t> </m:t>
          </m:r>
          <m:f>
            <m:fPr>
              <m:type m:val="bar"/>
            </m:fPr>
            <m:num>
              <m:nary>
                <m:naryPr>
                  <m:chr m:val="∫"/>
                  <m:limLoc m:val="subSup"/>
                  <m:subHide m:val="off"/>
                  <m:supHide m:val="off"/>
                </m:naryPr>
                <m:sub>
                  <m:r>
                    <m:t>0</m:t>
                  </m:r>
                </m:sub>
                <m:sup>
                  <m:r>
                    <m:t>T</m:t>
                  </m:r>
                </m:sup>
                <m:e>
                  <m:sSubSup>
                    <m:e>
                      <m:r>
                        <m:t>i</m:t>
                      </m:r>
                    </m:e>
                    <m:sub>
                      <m:r>
                        <m:t>L</m:t>
                      </m:r>
                    </m:sub>
                    <m:sup>
                      <m:r>
                        <m:t>2</m:t>
                      </m:r>
                    </m:sup>
                  </m:sSubSup>
                </m:e>
              </m:nary>
              <m:r>
                <m:t> </m:t>
              </m:r>
              <m:r>
                <m:t>d</m:t>
              </m:r>
              <m:r>
                <m:t>t</m:t>
              </m:r>
            </m:num>
            <m:den>
              <m:r>
                <m:t>T</m:t>
              </m:r>
              <m:r>
                <m:rPr>
                  <m:sty m:val="p"/>
                </m:rPr>
                <m:t>⋅</m:t>
              </m:r>
              <m:sSup>
                <m:e>
                  <m:r>
                    <m:t>20</m:t>
                  </m:r>
                </m:e>
                <m:sup>
                  <m:r>
                    <m:t>2</m:t>
                  </m:r>
                </m:sup>
              </m:sSup>
            </m:den>
          </m:f>
          <m:r>
            <m:rPr>
              <m:sty m:val="p"/>
            </m:rPr>
            <m:t>+</m:t>
          </m:r>
          <m:r>
            <m:t>0</m:t>
          </m:r>
          <m:r>
            <m:rPr>
              <m:sty m:val="p"/>
            </m:rPr>
            <m:t>,</m:t>
          </m:r>
          <m:r>
            <m:t>001</m:t>
          </m:r>
          <m:r>
            <m:t> </m:t>
          </m:r>
          <m:f>
            <m:fPr>
              <m:type m:val="bar"/>
            </m:fPr>
            <m:num>
              <m:bar>
                <m:barPr>
                  <m:pos m:val="top"/>
                </m:barPr>
                <m:e>
                  <m:d>
                    <m:dPr>
                      <m:begChr m:val="|"/>
                      <m:endChr m:val="|"/>
                      <m:sepChr m:val=""/>
                      <m:grow/>
                    </m:dPr>
                    <m:e>
                      <m:r>
                        <m:t>Δ</m:t>
                      </m:r>
                      <m:r>
                        <m:t>d</m:t>
                      </m:r>
                    </m:e>
                  </m:d>
                </m:e>
              </m:bar>
            </m:num>
            <m:den>
              <m:r>
                <m:t>0</m:t>
              </m:r>
              <m:r>
                <m:rPr>
                  <m:sty m:val="p"/>
                </m:rPr>
                <m:t>,</m:t>
              </m:r>
              <m:r>
                <m:t>96</m:t>
              </m:r>
            </m:den>
          </m:f>
          <m:r>
            <m:rPr>
              <m:sty m:val="p"/>
            </m:rPr>
            <m:t>,</m:t>
          </m:r>
          <m:r>
            <m:t>  </m:t>
          </m:r>
          <m:r>
            <m:t>T</m:t>
          </m:r>
          <m:r>
            <m:rPr>
              <m:sty m:val="p"/>
            </m:rPr>
            <m:t>=</m:t>
          </m:r>
          <m:r>
            <m:t>0</m:t>
          </m:r>
          <m:r>
            <m:rPr>
              <m:sty m:val="p"/>
            </m:rPr>
            <m:t>,</m:t>
          </m:r>
          <m:r>
            <m:t>324</m:t>
          </m:r>
          <m:r>
            <m:t> </m:t>
          </m:r>
          <m:r>
            <m:rPr>
              <m:sty m:val="p"/>
            </m:rPr>
            <m:t>s</m:t>
          </m:r>
          <m:r>
            <m:rPr>
              <m:sty m:val="p"/>
            </m:rPr>
            <m:t>,</m:t>
          </m:r>
        </m:oMath>
      </m:oMathPara>
    </w:p>
    <w:p>
      <w:pPr>
        <w:pStyle w:val="FirstParagraph"/>
      </w:pPr>
      <w:r>
        <w:t xml:space="preserve">sous six contraintes</w:t>
      </w:r>
      <w:r>
        <w:t xml:space="preserve"> </w:t>
      </w:r>
      <m:oMath>
        <m:sSub>
          <m:e>
            <m:r>
              <m:t>g</m:t>
            </m:r>
          </m:e>
          <m:sub>
            <m:r>
              <m:t>i</m:t>
            </m:r>
          </m:sub>
        </m:sSub>
        <m:r>
          <m:rPr>
            <m:sty m:val="p"/>
          </m:rPr>
          <m:t>≤</m:t>
        </m:r>
        <m:r>
          <m:t>0</m:t>
        </m:r>
      </m:oMath>
      <w:r>
        <w:t xml:space="preserve"> </w:t>
      </w:r>
      <w:r>
        <w:t xml:space="preserve">:</w:t>
      </w:r>
      <w:r>
        <w:t xml:space="preserve"> </w:t>
      </w:r>
      <m:oMath>
        <m:sSub>
          <m:e>
            <m:r>
              <m:t>g</m:t>
            </m:r>
          </m:e>
          <m:sub>
            <m:r>
              <m:t>1</m:t>
            </m:r>
          </m:sub>
        </m:sSub>
        <m:r>
          <m:rPr>
            <m:sty m:val="p"/>
          </m:rPr>
          <m:t>=</m:t>
        </m:r>
        <m:sSub>
          <m:e>
            <m:r>
              <m:t>I</m:t>
            </m:r>
          </m:e>
          <m:sub>
            <m:r>
              <m:rPr>
                <m:sty m:val="p"/>
              </m:rPr>
              <m:t>m</m:t>
            </m:r>
            <m:r>
              <m:rPr>
                <m:sty m:val="p"/>
              </m:rPr>
              <m:t>a</m:t>
            </m:r>
            <m:r>
              <m:rPr>
                <m:sty m:val="p"/>
              </m:rPr>
              <m:t>x</m:t>
            </m:r>
          </m:sub>
        </m:sSub>
        <m:r>
          <m:rPr>
            <m:sty m:val="p"/>
          </m:rPr>
          <m:t>/</m:t>
        </m:r>
        <m:r>
          <m:t>20</m:t>
        </m:r>
        <m:r>
          <m:rPr>
            <m:sty m:val="p"/>
          </m:rPr>
          <m:t>−</m:t>
        </m:r>
        <m:r>
          <m:t>1</m:t>
        </m:r>
      </m:oMath>
      <w:r>
        <w:t xml:space="preserve">,</w:t>
      </w:r>
      <w:r>
        <w:t xml:space="preserve"> </w:t>
      </w:r>
      <m:oMath>
        <m:sSub>
          <m:e>
            <m:r>
              <m:t>g</m:t>
            </m:r>
          </m:e>
          <m:sub>
            <m:r>
              <m:t>2</m:t>
            </m:r>
          </m:sub>
        </m:sSub>
        <m:r>
          <m:rPr>
            <m:sty m:val="p"/>
          </m:rPr>
          <m:t>=</m:t>
        </m:r>
        <m:d>
          <m:dPr>
            <m:begChr m:val="("/>
            <m:endChr m:val=")"/>
            <m:sepChr m:val=""/>
            <m:grow/>
          </m:dPr>
          <m:e>
            <m:sSub>
              <m:e>
                <m:r>
                  <m:t>V</m:t>
                </m:r>
              </m:e>
              <m:sub>
                <m:r>
                  <m:rPr>
                    <m:sty m:val="p"/>
                  </m:rPr>
                  <m:t>m</m:t>
                </m:r>
                <m:r>
                  <m:rPr>
                    <m:sty m:val="p"/>
                  </m:rPr>
                  <m:t>a</m:t>
                </m:r>
                <m:r>
                  <m:rPr>
                    <m:sty m:val="p"/>
                  </m:rPr>
                  <m:t>x</m:t>
                </m:r>
              </m:sub>
            </m:sSub>
            <m:r>
              <m:rPr>
                <m:sty m:val="p"/>
              </m:rPr>
              <m:t>−</m:t>
            </m:r>
            <m:r>
              <m:t>46</m:t>
            </m:r>
          </m:e>
        </m:d>
        <m:r>
          <m:rPr>
            <m:sty m:val="p"/>
          </m:rPr>
          <m:t>/</m:t>
        </m:r>
        <m:r>
          <m:t>1</m:t>
        </m:r>
        <m:r>
          <m:rPr>
            <m:sty m:val="p"/>
          </m:rPr>
          <m:t>,</m:t>
        </m:r>
        <m:r>
          <m:t>5</m:t>
        </m:r>
        <m:r>
          <m:rPr>
            <m:sty m:val="p"/>
          </m:rPr>
          <m:t>−</m:t>
        </m:r>
        <m:r>
          <m:t>1</m:t>
        </m:r>
      </m:oMath>
      <w:r>
        <w:t xml:space="preserve">,</w:t>
      </w:r>
      <w:r>
        <w:t xml:space="preserve"> </w:t>
      </w:r>
      <m:oMath>
        <m:sSub>
          <m:e>
            <m:r>
              <m:t>g</m:t>
            </m:r>
          </m:e>
          <m:sub>
            <m:r>
              <m:t>3</m:t>
            </m:r>
          </m:sub>
        </m:sSub>
        <m:r>
          <m:rPr>
            <m:sty m:val="p"/>
          </m:rPr>
          <m:t>=</m:t>
        </m:r>
        <m:d>
          <m:dPr>
            <m:begChr m:val="|"/>
            <m:endChr m:val="|"/>
            <m:sepChr m:val=""/>
            <m:grow/>
          </m:dPr>
          <m:e>
            <m:sSub>
              <m:e>
                <m:r>
                  <m:t>e</m:t>
                </m:r>
              </m:e>
              <m:sub>
                <m:r>
                  <m:t>24</m:t>
                </m:r>
              </m:sub>
            </m:sSub>
          </m:e>
        </m:d>
        <m:r>
          <m:rPr>
            <m:sty m:val="p"/>
          </m:rPr>
          <m:t>/</m:t>
        </m:r>
        <m:r>
          <m:t>0</m:t>
        </m:r>
        <m:r>
          <m:rPr>
            <m:sty m:val="p"/>
          </m:rPr>
          <m:t>,</m:t>
        </m:r>
        <m:r>
          <m:t>05</m:t>
        </m:r>
        <m:r>
          <m:rPr>
            <m:sty m:val="p"/>
          </m:rPr>
          <m:t>−</m:t>
        </m:r>
        <m:r>
          <m:t>1</m:t>
        </m:r>
      </m:oMath>
      <w:r>
        <w:t xml:space="preserve">,</w:t>
      </w:r>
      <w:r>
        <w:t xml:space="preserve"> </w:t>
      </w:r>
      <m:oMath>
        <m:sSub>
          <m:e>
            <m:r>
              <m:t>g</m:t>
            </m:r>
          </m:e>
          <m:sub>
            <m:r>
              <m:t>4</m:t>
            </m:r>
          </m:sub>
        </m:sSub>
        <m:r>
          <m:rPr>
            <m:sty m:val="p"/>
          </m:rPr>
          <m:t>=</m:t>
        </m:r>
        <m:d>
          <m:dPr>
            <m:begChr m:val="|"/>
            <m:endChr m:val="|"/>
            <m:sepChr m:val=""/>
            <m:grow/>
          </m:dPr>
          <m:e>
            <m:sSub>
              <m:e>
                <m:r>
                  <m:t>e</m:t>
                </m:r>
              </m:e>
              <m:sub>
                <m:r>
                  <m:t>1</m:t>
                </m:r>
              </m:sub>
            </m:sSub>
          </m:e>
        </m:d>
        <m:r>
          <m:rPr>
            <m:sty m:val="p"/>
          </m:rPr>
          <m:t>/</m:t>
        </m:r>
        <m:r>
          <m:t>0</m:t>
        </m:r>
        <m:r>
          <m:rPr>
            <m:sty m:val="p"/>
          </m:rPr>
          <m:t>,</m:t>
        </m:r>
        <m:r>
          <m:t>03</m:t>
        </m:r>
        <m:r>
          <m:rPr>
            <m:sty m:val="p"/>
          </m:rPr>
          <m:t>−</m:t>
        </m:r>
        <m:r>
          <m:t>1</m:t>
        </m:r>
      </m:oMath>
      <w:r>
        <w:t xml:space="preserve">,</w:t>
      </w:r>
      <w:r>
        <w:t xml:space="preserve"> </w:t>
      </w:r>
      <m:oMath>
        <m:sSub>
          <m:e>
            <m:r>
              <m:t>g</m:t>
            </m:r>
          </m:e>
          <m:sub>
            <m:r>
              <m:t>5</m:t>
            </m:r>
          </m:sub>
        </m:sSub>
        <m:r>
          <m:rPr>
            <m:sty m:val="p"/>
          </m:rPr>
          <m:t>=</m:t>
        </m:r>
        <m:d>
          <m:dPr>
            <m:begChr m:val="|"/>
            <m:endChr m:val="|"/>
            <m:sepChr m:val=""/>
            <m:grow/>
          </m:dPr>
          <m:e>
            <m:sSub>
              <m:e>
                <m:r>
                  <m:t>e</m:t>
                </m:r>
              </m:e>
              <m:sub>
                <m:r>
                  <m:t>46</m:t>
                </m:r>
              </m:sub>
            </m:sSub>
          </m:e>
        </m:d>
        <m:r>
          <m:rPr>
            <m:sty m:val="p"/>
          </m:rPr>
          <m:t>/</m:t>
        </m:r>
        <m:r>
          <m:t>0</m:t>
        </m:r>
        <m:r>
          <m:rPr>
            <m:sty m:val="p"/>
          </m:rPr>
          <m:t>,</m:t>
        </m:r>
        <m:r>
          <m:t>10</m:t>
        </m:r>
        <m:r>
          <m:rPr>
            <m:sty m:val="p"/>
          </m:rPr>
          <m:t>−</m:t>
        </m:r>
        <m:r>
          <m:t>1</m:t>
        </m:r>
      </m:oMath>
      <w:r>
        <w:t xml:space="preserve">,</w:t>
      </w:r>
      <w:r>
        <w:t xml:space="preserve"> </w:t>
      </w:r>
      <m:oMath>
        <m:sSub>
          <m:e>
            <m:r>
              <m:t>g</m:t>
            </m:r>
          </m:e>
          <m:sub>
            <m:r>
              <m:t>6</m:t>
            </m:r>
          </m:sub>
        </m:sSub>
        <m:r>
          <m:rPr>
            <m:sty m:val="p"/>
          </m:rPr>
          <m:t>=</m:t>
        </m:r>
        <m:d>
          <m:dPr>
            <m:begChr m:val="("/>
            <m:endChr m:val=")"/>
            <m:sepChr m:val=""/>
            <m:grow/>
          </m:dPr>
          <m:e>
            <m:r>
              <m:t>0</m:t>
            </m:r>
            <m:r>
              <m:rPr>
                <m:sty m:val="p"/>
              </m:rPr>
              <m:t>,</m:t>
            </m:r>
            <m:r>
              <m:t>8</m:t>
            </m:r>
            <m:r>
              <m:rPr>
                <m:sty m:val="p"/>
              </m:rPr>
              <m:t>−</m:t>
            </m:r>
            <m:sSub>
              <m:e>
                <m:r>
                  <m:t>V</m:t>
                </m:r>
              </m:e>
              <m:sub>
                <m:r>
                  <m:rPr>
                    <m:sty m:val="p"/>
                  </m:rPr>
                  <m:t>m</m:t>
                </m:r>
                <m:r>
                  <m:rPr>
                    <m:sty m:val="p"/>
                  </m:rPr>
                  <m:t>i</m:t>
                </m:r>
                <m:r>
                  <m:rPr>
                    <m:sty m:val="p"/>
                  </m:rPr>
                  <m:t>n</m:t>
                </m:r>
              </m:sub>
            </m:sSub>
          </m:e>
        </m:d>
        <m:r>
          <m:rPr>
            <m:sty m:val="p"/>
          </m:rPr>
          <m:t>/</m:t>
        </m:r>
        <m:r>
          <m:t>0</m:t>
        </m:r>
        <m:r>
          <m:rPr>
            <m:sty m:val="p"/>
          </m:rPr>
          <m:t>,</m:t>
        </m:r>
        <m:r>
          <m:t>8</m:t>
        </m:r>
      </m:oMath>
      <w:r>
        <w:t xml:space="preserve">.</w:t>
      </w:r>
      <w:r>
        <w:t xml:space="preserve"> </w:t>
      </w:r>
      <w:r>
        <w:t xml:space="preserve">Les extrema sont relevés sur les sorties brutes du solveur et les erreurs</w:t>
      </w:r>
      <w:r>
        <w:t xml:space="preserve"> </w:t>
      </w:r>
      <m:oMath>
        <m:sSub>
          <m:e>
            <m:r>
              <m:t>e</m:t>
            </m:r>
          </m:e>
          <m:sub>
            <m:r>
              <m:rPr>
                <m:sty m:val="p"/>
              </m:rPr>
              <m:t>•</m:t>
            </m:r>
          </m:sub>
        </m:sSub>
      </m:oMath>
      <w:r>
        <w:t xml:space="preserve"> </w:t>
      </w:r>
      <w:r>
        <w:t xml:space="preserve">sont des moyennes sur les fenêtres stationnaires</w:t>
      </w:r>
      <w:r>
        <w:t xml:space="preserve"> </w:t>
      </w:r>
      <m:oMath>
        <m:d>
          <m:dPr>
            <m:begChr m:val="["/>
            <m:endChr m:val="]"/>
            <m:sepChr m:val=""/>
            <m:grow/>
          </m:dPr>
          <m:e>
            <m:r>
              <m:t>0</m:t>
            </m:r>
            <m:r>
              <m:rPr>
                <m:sty m:val="p"/>
              </m:rPr>
              <m:t>,</m:t>
            </m:r>
            <m:r>
              <m:t>0936</m:t>
            </m:r>
            <m:r>
              <m:rPr>
                <m:sty m:val="p"/>
              </m:rPr>
              <m:t>;</m:t>
            </m:r>
            <m:r>
              <m:t>0</m:t>
            </m:r>
            <m:r>
              <m:rPr>
                <m:sty m:val="p"/>
              </m:rPr>
              <m:t>,</m:t>
            </m:r>
            <m:r>
              <m:t>1044</m:t>
            </m:r>
          </m:e>
        </m:d>
      </m:oMath>
      <w:r>
        <w:t xml:space="preserve">,</w:t>
      </w:r>
      <w:r>
        <w:t xml:space="preserve"> </w:t>
      </w:r>
      <m:oMath>
        <m:d>
          <m:dPr>
            <m:begChr m:val="["/>
            <m:endChr m:val="]"/>
            <m:sepChr m:val=""/>
            <m:grow/>
          </m:dPr>
          <m:e>
            <m:r>
              <m:t>0</m:t>
            </m:r>
            <m:r>
              <m:rPr>
                <m:sty m:val="p"/>
              </m:rPr>
              <m:t>,</m:t>
            </m:r>
            <m:r>
              <m:t>198</m:t>
            </m:r>
            <m:r>
              <m:rPr>
                <m:sty m:val="p"/>
              </m:rPr>
              <m:t>;</m:t>
            </m:r>
            <m:r>
              <m:t>0</m:t>
            </m:r>
            <m:r>
              <m:rPr>
                <m:sty m:val="p"/>
              </m:rPr>
              <m:t>,</m:t>
            </m:r>
            <m:r>
              <m:t>2124</m:t>
            </m:r>
          </m:e>
        </m:d>
      </m:oMath>
      <w:r>
        <w:t xml:space="preserve"> </w:t>
      </w:r>
      <w:r>
        <w:t xml:space="preserve">et</w:t>
      </w:r>
      <w:r>
        <w:t xml:space="preserve"> </w:t>
      </w:r>
      <m:oMath>
        <m:d>
          <m:dPr>
            <m:begChr m:val="["/>
            <m:endChr m:val="]"/>
            <m:sepChr m:val=""/>
            <m:grow/>
          </m:dPr>
          <m:e>
            <m:r>
              <m:t>0</m:t>
            </m:r>
            <m:r>
              <m:rPr>
                <m:sty m:val="p"/>
              </m:rPr>
              <m:t>,</m:t>
            </m:r>
            <m:r>
              <m:t>306</m:t>
            </m:r>
            <m:r>
              <m:rPr>
                <m:sty m:val="p"/>
              </m:rPr>
              <m:t>;</m:t>
            </m:r>
            <m:r>
              <m:t>0</m:t>
            </m:r>
            <m:r>
              <m:rPr>
                <m:sty m:val="p"/>
              </m:rPr>
              <m:t>,</m:t>
            </m:r>
            <m:r>
              <m:t>3204</m:t>
            </m:r>
          </m:e>
        </m:d>
      </m:oMath>
      <w:r>
        <w:t xml:space="preserve"> s. La</w:t>
      </w:r>
      <w:r>
        <w:t xml:space="preserve"> </w:t>
      </w:r>
      <w:r>
        <w:rPr>
          <w:iCs/>
          <w:i/>
        </w:rPr>
        <w:t xml:space="preserve">marge</w:t>
      </w:r>
      <w:r>
        <w:t xml:space="preserve"> </w:t>
      </w:r>
      <w:r>
        <w:t xml:space="preserve">d’un candidat est</w:t>
      </w:r>
      <w:r>
        <w:t xml:space="preserve"> </w:t>
      </w:r>
      <m:oMath>
        <m:r>
          <m:t>m</m:t>
        </m:r>
        <m:r>
          <m:rPr>
            <m:sty m:val="p"/>
          </m:rPr>
          <m:t>=</m:t>
        </m:r>
        <m:r>
          <m:rPr>
            <m:sty m:val="p"/>
          </m:rPr>
          <m:t>−</m:t>
        </m:r>
        <m:sSub>
          <m:e>
            <m:r>
              <m:rPr>
                <m:sty m:val="p"/>
              </m:rPr>
              <m:t>max</m:t>
            </m:r>
          </m:e>
          <m:sub>
            <m:r>
              <m:t>i</m:t>
            </m:r>
          </m:sub>
        </m:sSub>
        <m:sSub>
          <m:e>
            <m:r>
              <m:t>g</m:t>
            </m:r>
          </m:e>
          <m:sub>
            <m:r>
              <m:t>i</m:t>
            </m:r>
          </m:sub>
        </m:sSub>
      </m:oMath>
      <w:r>
        <w:t xml:space="preserve">, et sur un ensemble de cas</w:t>
      </w:r>
      <w:r>
        <w:t xml:space="preserve"> </w:t>
      </w:r>
      <m:oMath>
        <m:r>
          <m:t>m</m:t>
        </m:r>
        <m:r>
          <m:rPr>
            <m:sty m:val="p"/>
          </m:rPr>
          <m:t>=</m:t>
        </m:r>
        <m:sSub>
          <m:e>
            <m:r>
              <m:rPr>
                <m:sty m:val="p"/>
              </m:rPr>
              <m:t>min</m:t>
            </m:r>
          </m:e>
          <m:sub>
            <m:r>
              <m:t>k</m:t>
            </m:r>
          </m:sub>
        </m:sSub>
        <m:d>
          <m:dPr>
            <m:begChr m:val="("/>
            <m:endChr m:val=")"/>
            <m:sepChr m:val=""/>
            <m:grow/>
          </m:dPr>
          <m:e>
            <m:r>
              <m:rPr>
                <m:sty m:val="p"/>
              </m:rPr>
              <m:t>−</m:t>
            </m:r>
            <m:sSub>
              <m:e>
                <m:r>
                  <m:rPr>
                    <m:sty m:val="p"/>
                  </m:rPr>
                  <m:t>max</m:t>
                </m:r>
              </m:e>
              <m:sub>
                <m:r>
                  <m:t>i</m:t>
                </m:r>
              </m:sub>
            </m:sSub>
            <m:sSub>
              <m:e>
                <m:r>
                  <m:t>g</m:t>
                </m:r>
              </m:e>
              <m:sub>
                <m:r>
                  <m:t>i</m:t>
                </m:r>
                <m:r>
                  <m:rPr>
                    <m:sty m:val="p"/>
                  </m:rPr>
                  <m:t>,</m:t>
                </m:r>
                <m:r>
                  <m:t>k</m:t>
                </m:r>
              </m:sub>
            </m:sSub>
          </m:e>
        </m:d>
      </m:oMath>
      <w:r>
        <w:t xml:space="preserve"> </w:t>
      </w:r>
      <w:r>
        <w:t xml:space="preserve">: un minimum de maxima, donc une fonction</w:t>
      </w:r>
      <w:r>
        <w:t xml:space="preserve"> </w:t>
      </w:r>
      <w:r>
        <w:t xml:space="preserve">non différentiable.</w:t>
      </w:r>
    </w:p>
    <w:bookmarkEnd w:id="23"/>
    <w:bookmarkEnd w:id="24"/>
    <w:bookmarkStart w:id="28" w:name="sec:evaluateur"/>
    <w:p>
      <w:pPr>
        <w:pStyle w:val="Heading2"/>
      </w:pPr>
      <w:r>
        <w:t xml:space="preserve">Évaluateur commuté</w:t>
      </w:r>
    </w:p>
    <w:bookmarkStart w:id="25" w:name="pourquoi-un-modèle-commuté."/>
    <w:p>
      <w:pPr>
        <w:pStyle w:val="Heading4"/>
      </w:pPr>
      <w:r>
        <w:t xml:space="preserve">Pourquoi un modèle commuté.</w:t>
      </w:r>
    </w:p>
    <w:p>
      <w:pPr>
        <w:pStyle w:val="FirstParagraph"/>
      </w:pPr>
      <w:r>
        <w:t xml:space="preserve">L’espace de travail du modèle Simulink de référence indique que le palier de</w:t>
      </w:r>
      <w:r>
        <w:t xml:space="preserve"> </w:t>
      </w:r>
      <m:oMath>
        <m:r>
          <m:t>1</m:t>
        </m:r>
      </m:oMath>
      <w:r>
        <w:t xml:space="preserve"> V se situe à</w:t>
      </w:r>
      <w:r>
        <w:t xml:space="preserve"> </w:t>
      </w:r>
      <m:oMath>
        <m:r>
          <m:t>3</m:t>
        </m:r>
        <m:r>
          <m:t> </m:t>
        </m:r>
        <m:r>
          <m:rPr>
            <m:sty m:val="p"/>
          </m:rPr>
          <m:t>%</m:t>
        </m:r>
      </m:oMath>
      <w:r>
        <w:t xml:space="preserve"> </w:t>
      </w:r>
      <w:r>
        <w:t xml:space="preserve">de la frontière entre conduction continue et</w:t>
      </w:r>
      <w:r>
        <w:t xml:space="preserve"> </w:t>
      </w:r>
      <w:r>
        <w:t xml:space="preserve">discontinue, et que le saut</w:t>
      </w:r>
      <w:r>
        <w:t xml:space="preserve"> </w:t>
      </w:r>
      <m:oMath>
        <m:r>
          <m:t>24</m:t>
        </m:r>
        <m:r>
          <m:rPr>
            <m:sty m:val="p"/>
          </m:rPr>
          <m:t>→</m:t>
        </m:r>
        <m:r>
          <m:t>1</m:t>
        </m:r>
      </m:oMath>
      <w:r>
        <w:t xml:space="preserve"> V impose environ</w:t>
      </w:r>
      <w:r>
        <w:t xml:space="preserve"> </w:t>
      </w:r>
      <m:oMath>
        <m:r>
          <m:t>3</m:t>
        </m:r>
        <m:r>
          <m:rPr>
            <m:sty m:val="p"/>
          </m:rPr>
          <m:t>,</m:t>
        </m:r>
        <m:r>
          <m:t>2</m:t>
        </m:r>
      </m:oMath>
      <w:r>
        <w:t xml:space="preserve"> ms de conduction</w:t>
      </w:r>
      <w:r>
        <w:t xml:space="preserve"> </w:t>
      </w:r>
      <w:r>
        <w:t xml:space="preserve">discontinue. Un évaluateur moyenné en conduction continue serait donc faux</w:t>
      </w:r>
      <w:r>
        <w:t xml:space="preserve"> </w:t>
      </w:r>
      <w:r>
        <w:t xml:space="preserve">précisément là où s’applique</w:t>
      </w:r>
      <w:r>
        <w:t xml:space="preserve"> </w:t>
      </w:r>
      <m:oMath>
        <m:sSub>
          <m:e>
            <m:r>
              <m:t>g</m:t>
            </m:r>
          </m:e>
          <m:sub>
            <m:r>
              <m:t>4</m:t>
            </m:r>
          </m:sub>
        </m:sSub>
      </m:oMath>
      <w:r>
        <w:t xml:space="preserve">. Nous simulons le convertisseur commuté</w:t>
      </w:r>
      <w:r>
        <w:t xml:space="preserve"> </w:t>
      </w:r>
      <w:r>
        <w:t xml:space="preserve">avec trois états de conduction : interrupteur passant, diode passante, et</w:t>
      </w:r>
      <w:r>
        <w:t xml:space="preserve"> </w:t>
      </w:r>
      <w:r>
        <w:t xml:space="preserve">diode bloquée (</w:t>
      </w:r>
      <m:oMath>
        <m:sSub>
          <m:e>
            <m:r>
              <m:t>i</m:t>
            </m:r>
          </m:e>
          <m:sub>
            <m:r>
              <m:t>L</m:t>
            </m:r>
          </m:sub>
        </m:sSub>
        <m:r>
          <m:rPr>
            <m:sty m:val="p"/>
          </m:rPr>
          <m:t>=</m:t>
        </m:r>
        <m:r>
          <m:t>0</m:t>
        </m:r>
      </m:oMath>
      <w:r>
        <w:t xml:space="preserve">), ce dernier produisant la conduction discontinue sans</w:t>
      </w:r>
      <w:r>
        <w:t xml:space="preserve"> </w:t>
      </w:r>
      <w:r>
        <w:t xml:space="preserve">modèle séparé.</w:t>
      </w:r>
    </w:p>
    <w:bookmarkEnd w:id="25"/>
    <w:bookmarkStart w:id="26" w:name="fronts-de-mli."/>
    <w:p>
      <w:pPr>
        <w:pStyle w:val="Heading4"/>
      </w:pPr>
      <w:r>
        <w:t xml:space="preserve">Fronts de MLI.</w:t>
      </w:r>
    </w:p>
    <w:p>
      <w:pPr>
        <w:pStyle w:val="FirstParagraph"/>
      </w:pPr>
      <w:r>
        <w:t xml:space="preserve">Chaque pas d’intégration (Runge–Kutta d’ordre 4) est découpé exactement sur</w:t>
      </w:r>
      <w:r>
        <w:t xml:space="preserve"> </w:t>
      </w:r>
      <w:r>
        <w:t xml:space="preserve">les fronts de la porteuse. Sans ce découpage, un pas de</w:t>
      </w:r>
      <w:r>
        <w:t xml:space="preserve"> </w:t>
      </w:r>
      <m:oMath>
        <m:r>
          <m:t>1</m:t>
        </m:r>
        <m:r>
          <m:t> </m:t>
        </m:r>
        <m:r>
          <m:t>μ</m:t>
        </m:r>
      </m:oMath>
      <w:r>
        <w:t xml:space="preserve">s sur une</w:t>
      </w:r>
      <w:r>
        <w:t xml:space="preserve"> </w:t>
      </w:r>
      <w:r>
        <w:t xml:space="preserve">période de</w:t>
      </w:r>
      <w:r>
        <w:t xml:space="preserve"> </w:t>
      </w:r>
      <m:oMath>
        <m:r>
          <m:t>20</m:t>
        </m:r>
        <m:r>
          <m:t> </m:t>
        </m:r>
        <m:r>
          <m:t>μ</m:t>
        </m:r>
      </m:oMath>
      <w:r>
        <w:t xml:space="preserve">s limiterait la résolution du rapport cyclique à</w:t>
      </w:r>
      <w:r>
        <w:t xml:space="preserve"> </w:t>
      </w:r>
      <m:oMath>
        <m:r>
          <m:t>5</m:t>
        </m:r>
        <m:r>
          <m:t> </m:t>
        </m:r>
        <m:r>
          <m:rPr>
            <m:sty m:val="p"/>
          </m:rPr>
          <m:t>%</m:t>
        </m:r>
      </m:oMath>
      <w:r>
        <w:t xml:space="preserve">,</w:t>
      </w:r>
      <w:r>
        <w:t xml:space="preserve"> </w:t>
      </w:r>
      <w:r>
        <w:t xml:space="preserve">ce qui rendrait les bornes</w:t>
      </w:r>
      <w:r>
        <w:t xml:space="preserve"> </w:t>
      </w:r>
      <m:oMath>
        <m:d>
          <m:dPr>
            <m:begChr m:val="["/>
            <m:endChr m:val="]"/>
            <m:sepChr m:val=""/>
            <m:grow/>
          </m:dPr>
          <m:e>
            <m:r>
              <m:t>0</m:t>
            </m:r>
            <m:r>
              <m:rPr>
                <m:sty m:val="p"/>
              </m:rPr>
              <m:t>,</m:t>
            </m:r>
            <m:r>
              <m:t>02</m:t>
            </m:r>
            <m:r>
              <m:rPr>
                <m:sty m:val="p"/>
              </m:rPr>
              <m:t>;</m:t>
            </m:r>
            <m:r>
              <m:t>0</m:t>
            </m:r>
            <m:r>
              <m:rPr>
                <m:sty m:val="p"/>
              </m:rPr>
              <m:t>,</m:t>
            </m:r>
            <m:r>
              <m:t>98</m:t>
            </m:r>
          </m:e>
        </m:d>
      </m:oMath>
      <w:r>
        <w:t xml:space="preserve"> </w:t>
      </w:r>
      <w:r>
        <w:t xml:space="preserve">fictives. L’écart relatif sur</w:t>
      </w:r>
      <w:r>
        <w:t xml:space="preserve"> </w:t>
      </w:r>
      <m:oMath>
        <m:r>
          <m:t>J</m:t>
        </m:r>
      </m:oMath>
      <w:r>
        <w:t xml:space="preserve"> </w:t>
      </w:r>
      <w:r>
        <w:t xml:space="preserve">entre les pas de recherche (</w:t>
      </w:r>
      <m:oMath>
        <m:r>
          <m:t>1</m:t>
        </m:r>
        <m:r>
          <m:t> </m:t>
        </m:r>
        <m:r>
          <m:t>μ</m:t>
        </m:r>
      </m:oMath>
      <w:r>
        <w:t xml:space="preserve">s) et de confirmation (</w:t>
      </w:r>
      <m:oMath>
        <m:r>
          <m:t>0</m:t>
        </m:r>
        <m:r>
          <m:rPr>
            <m:sty m:val="p"/>
          </m:rPr>
          <m:t>,</m:t>
        </m:r>
        <m:r>
          <m:t>2</m:t>
        </m:r>
        <m:r>
          <m:t> </m:t>
        </m:r>
        <m:r>
          <m:t>μ</m:t>
        </m:r>
      </m:oMath>
      <w:r>
        <w:t xml:space="preserve">s) vaut</w:t>
      </w:r>
      <w:r>
        <w:t xml:space="preserve"> </w:t>
      </w:r>
      <m:oMath>
        <m:r>
          <m:t>0</m:t>
        </m:r>
        <m:r>
          <m:rPr>
            <m:sty m:val="p"/>
          </m:rPr>
          <m:t>,</m:t>
        </m:r>
        <m:r>
          <m:t>13</m:t>
        </m:r>
        <m:r>
          <m:t> </m:t>
        </m:r>
        <m:r>
          <m:rPr>
            <m:sty m:val="p"/>
          </m:rPr>
          <m:t>%</m:t>
        </m:r>
      </m:oMath>
      <w:r>
        <w:t xml:space="preserve"> </w:t>
      </w:r>
      <w:r>
        <w:t xml:space="preserve">sur une loi de commande de référence.</w:t>
      </w:r>
    </w:p>
    <w:bookmarkEnd w:id="26"/>
    <w:bookmarkStart w:id="27" w:name="réalisation-fractionnaire."/>
    <w:p>
      <w:pPr>
        <w:pStyle w:val="Heading4"/>
      </w:pPr>
      <w:r>
        <w:t xml:space="preserve">Réalisation fractionnaire.</w:t>
      </w:r>
    </w:p>
    <w:p>
      <w:pPr>
        <w:pStyle w:val="FirstParagraph"/>
      </w:pPr>
      <w:r>
        <w:t xml:space="preserve">L’opérateur</w:t>
      </w:r>
      <w:r>
        <w:t xml:space="preserve"> </w:t>
      </w:r>
      <m:oMath>
        <m:sSup>
          <m:e>
            <m:r>
              <m:t>s</m:t>
            </m:r>
          </m:e>
          <m:sup>
            <m:r>
              <m:t>γ</m:t>
            </m:r>
          </m:sup>
        </m:sSup>
      </m:oMath>
      <w:r>
        <w:t xml:space="preserve">,</w:t>
      </w:r>
      <w:r>
        <w:t xml:space="preserve"> </w:t>
      </w:r>
      <m:oMath>
        <m:r>
          <m:t>γ</m:t>
        </m:r>
        <m:r>
          <m:rPr>
            <m:sty m:val="p"/>
          </m:rPr>
          <m:t>∈</m:t>
        </m:r>
        <m:d>
          <m:dPr>
            <m:begChr m:val="["/>
            <m:endChr m:val="]"/>
            <m:sepChr m:val=""/>
            <m:grow/>
          </m:dPr>
          <m:e>
            <m:r>
              <m:t>0</m:t>
            </m:r>
            <m:r>
              <m:rPr>
                <m:sty m:val="p"/>
              </m:rPr>
              <m:t>;</m:t>
            </m:r>
            <m:r>
              <m:t>1</m:t>
            </m:r>
          </m:e>
        </m:d>
      </m:oMath>
      <w:r>
        <w:t xml:space="preserve">, est approché par Oustaloup de</w:t>
      </w:r>
      <w:r>
        <w:t xml:space="preserve"> </w:t>
      </w:r>
      <w:r>
        <w:t xml:space="preserve">demi-ordre 3 (7 cellules) sur</w:t>
      </w:r>
      <w:r>
        <w:t xml:space="preserve"> </w:t>
      </w:r>
      <m:oMath>
        <m:d>
          <m:dPr>
            <m:begChr m:val="["/>
            <m:endChr m:val="]"/>
            <m:sepChr m:val=""/>
            <m:grow/>
          </m:dPr>
          <m:e>
            <m:r>
              <m:t>1</m:t>
            </m:r>
            <m:r>
              <m:rPr>
                <m:sty m:val="p"/>
              </m:rPr>
              <m:t>;</m:t>
            </m:r>
            <m:sSup>
              <m:e>
                <m:r>
                  <m:t>10</m:t>
                </m:r>
              </m:e>
              <m:sup>
                <m:r>
                  <m:t>5</m:t>
                </m:r>
              </m:sup>
            </m:sSup>
          </m:e>
        </m:d>
      </m:oMath>
      <w:r>
        <w:t xml:space="preserve"> rad/s, chaque cellule</w:t>
      </w:r>
      <w:r>
        <w:t xml:space="preserve"> </w:t>
      </w:r>
      <m:oMath>
        <m:d>
          <m:dPr>
            <m:begChr m:val="("/>
            <m:endChr m:val=")"/>
            <m:sepChr m:val=""/>
            <m:grow/>
          </m:dPr>
          <m:e>
            <m:r>
              <m:t>s</m:t>
            </m:r>
            <m:r>
              <m:rPr>
                <m:sty m:val="p"/>
              </m:rPr>
              <m:t>+</m:t>
            </m:r>
            <m:r>
              <m:t>z</m:t>
            </m:r>
          </m:e>
        </m:d>
        <m:r>
          <m:rPr>
            <m:sty m:val="p"/>
          </m:rPr>
          <m:t>/</m:t>
        </m:r>
        <m:d>
          <m:dPr>
            <m:begChr m:val="("/>
            <m:endChr m:val=")"/>
            <m:sepChr m:val=""/>
            <m:grow/>
          </m:dPr>
          <m:e>
            <m:r>
              <m:t>s</m:t>
            </m:r>
            <m:r>
              <m:rPr>
                <m:sty m:val="p"/>
              </m:rPr>
              <m:t>+</m:t>
            </m:r>
            <m:r>
              <m:t>p</m:t>
            </m:r>
          </m:e>
        </m:d>
      </m:oMath>
      <w:r>
        <w:t xml:space="preserve"> </w:t>
      </w:r>
      <w:r>
        <w:t xml:space="preserve">étant discrétisée exactement par bloqueur d’ordre zéro.</w:t>
      </w:r>
      <w:r>
        <w:t xml:space="preserve"> </w:t>
      </w:r>
      <w:r>
        <w:t xml:space="preserve">L’intégrale est réalisée comme</w:t>
      </w:r>
      <w:r>
        <w:t xml:space="preserve"> </w:t>
      </w:r>
      <m:oMath>
        <m:sSup>
          <m:e>
            <m:r>
              <m:t>s</m:t>
            </m:r>
          </m:e>
          <m:sup>
            <m:r>
              <m:rPr>
                <m:sty m:val="p"/>
              </m:rPr>
              <m:t>−</m:t>
            </m:r>
            <m:r>
              <m:t>λ</m:t>
            </m:r>
          </m:sup>
        </m:sSup>
        <m:r>
          <m:rPr>
            <m:sty m:val="p"/>
          </m:rPr>
          <m:t>=</m:t>
        </m:r>
        <m:sSup>
          <m:e>
            <m:r>
              <m:t>s</m:t>
            </m:r>
          </m:e>
          <m:sup>
            <m:r>
              <m:rPr>
                <m:sty m:val="p"/>
              </m:rPr>
              <m:t>−</m:t>
            </m:r>
            <m:r>
              <m:t>1</m:t>
            </m:r>
          </m:sup>
        </m:sSup>
        <m:r>
          <m:rPr>
            <m:sty m:val="p"/>
          </m:rPr>
          <m:t>⋅</m:t>
        </m:r>
        <m:sSup>
          <m:e>
            <m:r>
              <m:t>s</m:t>
            </m:r>
          </m:e>
          <m:sup>
            <m:r>
              <m:t>1</m:t>
            </m:r>
            <m:r>
              <m:rPr>
                <m:sty m:val="p"/>
              </m:rPr>
              <m:t>−</m:t>
            </m:r>
            <m:r>
              <m:t>λ</m:t>
            </m:r>
          </m:sup>
        </m:sSup>
      </m:oMath>
      <w:r>
        <w:t xml:space="preserve"> </w:t>
      </w:r>
      <w:r>
        <w:t xml:space="preserve">: un</w:t>
      </w:r>
      <w:r>
        <w:t xml:space="preserve"> </w:t>
      </w:r>
      <w:r>
        <w:t xml:space="preserve">intégrateur exact assure l’erreur statique nulle, et la cellule d’Oustaloup</w:t>
      </w:r>
      <w:r>
        <w:t xml:space="preserve"> </w:t>
      </w:r>
      <w:r>
        <w:t xml:space="preserve">porte la seule partie fractionnaire. La dérivée utilise la même réalisation,</w:t>
      </w:r>
      <w:r>
        <w:t xml:space="preserve"> </w:t>
      </w:r>
      <w:r>
        <w:t xml:space="preserve">y compris pour</w:t>
      </w:r>
      <w:r>
        <w:t xml:space="preserve"> </w:t>
      </w:r>
      <m:oMath>
        <m:r>
          <m:t>μ</m:t>
        </m:r>
        <m:r>
          <m:rPr>
            <m:sty m:val="p"/>
          </m:rPr>
          <m:t>=</m:t>
        </m:r>
        <m:r>
          <m:t>1</m:t>
        </m:r>
      </m:oMath>
      <w:r>
        <w:t xml:space="preserve">, où la formule d’Oustaloup donne</w:t>
      </w:r>
      <w:r>
        <w:t xml:space="preserve"> </w:t>
      </w:r>
      <m:oMath>
        <m:sSub>
          <m:e>
            <m:r>
              <m:t>ω</m:t>
            </m:r>
          </m:e>
          <m:sub>
            <m:r>
              <m:t>h</m:t>
            </m:r>
          </m:sub>
        </m:sSub>
        <m:d>
          <m:dPr>
            <m:begChr m:val="("/>
            <m:endChr m:val=")"/>
            <m:sepChr m:val=""/>
            <m:grow/>
          </m:dPr>
          <m:e>
            <m:r>
              <m:t>s</m:t>
            </m:r>
            <m:r>
              <m:rPr>
                <m:sty m:val="p"/>
              </m:rPr>
              <m:t>+</m:t>
            </m:r>
            <m:sSub>
              <m:e>
                <m:r>
                  <m:t>ω</m:t>
                </m:r>
              </m:e>
              <m:sub>
                <m:r>
                  <m:t>b</m:t>
                </m:r>
              </m:sub>
            </m:sSub>
          </m:e>
        </m:d>
        <m:r>
          <m:rPr>
            <m:sty m:val="p"/>
          </m:rPr>
          <m:t>/</m:t>
        </m:r>
        <m:d>
          <m:dPr>
            <m:begChr m:val="("/>
            <m:endChr m:val=")"/>
            <m:sepChr m:val=""/>
            <m:grow/>
          </m:dPr>
          <m:e>
            <m:r>
              <m:t>s</m:t>
            </m:r>
            <m:r>
              <m:rPr>
                <m:sty m:val="p"/>
              </m:rPr>
              <m:t>+</m:t>
            </m:r>
            <m:sSub>
              <m:e>
                <m:r>
                  <m:t>ω</m:t>
                </m:r>
              </m:e>
              <m:sub>
                <m:r>
                  <m:t>h</m:t>
                </m:r>
              </m:sub>
            </m:sSub>
          </m:e>
        </m:d>
      </m:oMath>
      <w:r>
        <w:t xml:space="preserve">, une dérivée à bande limitée.</w:t>
      </w:r>
    </w:p>
    <w:bookmarkEnd w:id="27"/>
    <w:bookmarkEnd w:id="28"/>
    <w:bookmarkStart w:id="29" w:name="sec:projection"/>
    <w:p>
      <w:pPr>
        <w:pStyle w:val="Heading2"/>
      </w:pPr>
      <w:r>
        <w:t xml:space="preserve">Synthèse FO-LQI et projection vers FO-PIDF</w:t>
      </w:r>
    </w:p>
    <w:p>
      <w:pPr>
        <w:pStyle w:val="FirstParagraph"/>
      </w:pPr>
      <w:r>
        <w:t xml:space="preserve">Le modèle petit-signal est normalisé par</w:t>
      </w:r>
      <w:r>
        <w:t xml:space="preserve"> </w:t>
      </w:r>
      <m:oMath>
        <m:r>
          <m:t>I</m:t>
        </m:r>
        <m:r>
          <m:rPr>
            <m:sty m:val="p"/>
          </m:rPr>
          <m:t>=</m:t>
        </m:r>
        <m:r>
          <m:t>5</m:t>
        </m:r>
      </m:oMath>
      <w:r>
        <w:t xml:space="preserve"> A,</w:t>
      </w:r>
      <w:r>
        <w:t xml:space="preserve"> </w:t>
      </w:r>
      <m:oMath>
        <m:r>
          <m:t>V</m:t>
        </m:r>
        <m:r>
          <m:rPr>
            <m:sty m:val="p"/>
          </m:rPr>
          <m:t>=</m:t>
        </m:r>
        <m:r>
          <m:t>24</m:t>
        </m:r>
      </m:oMath>
      <w:r>
        <w:t xml:space="preserve"> V,</w:t>
      </w:r>
      <w:r>
        <w:t xml:space="preserve"> </w:t>
      </w:r>
      <m:oMath>
        <m:r>
          <m:t>d</m:t>
        </m:r>
        <m:r>
          <m:rPr>
            <m:sty m:val="p"/>
          </m:rPr>
          <m:t>=</m:t>
        </m:r>
        <m:r>
          <m:t>0</m:t>
        </m:r>
        <m:r>
          <m:rPr>
            <m:sty m:val="p"/>
          </m:rPr>
          <m:t>,</m:t>
        </m:r>
        <m:r>
          <m:t>48</m:t>
        </m:r>
      </m:oMath>
      <w:r>
        <w:t xml:space="preserve"> </w:t>
      </w:r>
      <w:r>
        <w:t xml:space="preserve">et</w:t>
      </w:r>
      <w:r>
        <w:t xml:space="preserve"> </w:t>
      </w:r>
      <m:oMath>
        <m:sSub>
          <m:e>
            <m:r>
              <m:t>T</m:t>
            </m:r>
          </m:e>
          <m:sub>
            <m:r>
              <m:t>0</m:t>
            </m:r>
          </m:sub>
        </m:sSub>
        <m:r>
          <m:rPr>
            <m:sty m:val="p"/>
          </m:rPr>
          <m:t>=</m:t>
        </m:r>
        <m:r>
          <m:t>1</m:t>
        </m:r>
      </m:oMath>
      <w:r>
        <w:t xml:space="preserve"> ms, puis augmenté d’un état de mémoire. La commande LQR</w:t>
      </w:r>
      <w:r>
        <w:t xml:space="preserve"> </w:t>
      </w:r>
      <w:r>
        <w:t xml:space="preserve">(</w:t>
      </w:r>
      <m:oMath>
        <m:r>
          <m:t>R</m:t>
        </m:r>
        <m:r>
          <m:rPr>
            <m:sty m:val="p"/>
          </m:rPr>
          <m:t>=</m:t>
        </m:r>
        <m:r>
          <m:t>1</m:t>
        </m:r>
      </m:oMath>
      <w:r>
        <w:t xml:space="preserve">) donne</w:t>
      </w:r>
      <w:r>
        <w:t xml:space="preserve"> </w:t>
      </w:r>
      <m:oMath>
        <m:r>
          <m:t>K</m:t>
        </m:r>
        <m:r>
          <m:rPr>
            <m:sty m:val="p"/>
          </m:rPr>
          <m:t>=</m:t>
        </m:r>
        <m:d>
          <m:dPr>
            <m:begChr m:val="["/>
            <m:endChr m:val="]"/>
            <m:sepChr m:val=""/>
            <m:grow/>
          </m:dPr>
          <m:e>
            <m:sSubSup>
              <m:e>
                <m:r>
                  <m:t>K</m:t>
                </m:r>
              </m:e>
              <m:sub>
                <m:r>
                  <m:t>i</m:t>
                </m:r>
              </m:sub>
              <m:sup>
                <m:r>
                  <m:t>x</m:t>
                </m:r>
              </m:sup>
            </m:sSubSup>
            <m:r>
              <m:rPr>
                <m:sty m:val="p"/>
              </m:rPr>
              <m:t>,</m:t>
            </m:r>
            <m:sSubSup>
              <m:e>
                <m:r>
                  <m:t>K</m:t>
                </m:r>
              </m:e>
              <m:sub>
                <m:r>
                  <m:t>v</m:t>
                </m:r>
              </m:sub>
              <m:sup>
                <m:r>
                  <m:t>x</m:t>
                </m:r>
              </m:sup>
            </m:sSubSup>
            <m:r>
              <m:rPr>
                <m:sty m:val="p"/>
              </m:rPr>
              <m:t>,</m:t>
            </m:r>
            <m:sSub>
              <m:e>
                <m:r>
                  <m:t>K</m:t>
                </m:r>
              </m:e>
              <m:sub>
                <m:r>
                  <m:t>z</m:t>
                </m:r>
              </m:sub>
            </m:sSub>
          </m:e>
        </m:d>
      </m:oMath>
      <w:r>
        <w:t xml:space="preserve">. Pour le plant linéaire nominal, sans</w:t>
      </w:r>
      <w:r>
        <w:t xml:space="preserve"> </w:t>
      </w:r>
      <w:r>
        <w:t xml:space="preserve">perturbation et hors saturation, le retour d’état se réduit algébriquement à</w:t>
      </w:r>
    </w:p>
    <w:p>
      <w:pPr>
        <w:pStyle w:val="BodyText"/>
      </w:pPr>
      <m:oMathPara>
        <m:oMathParaPr>
          <m:jc m:val="center"/>
        </m:oMathParaPr>
        <m:oMath>
          <m:sSub>
            <m:e>
              <m:r>
                <m:t>C</m:t>
              </m:r>
            </m:e>
            <m:sub>
              <m:r>
                <m:rPr>
                  <m:sty m:val="p"/>
                </m:rPr>
                <m:t>F</m:t>
              </m:r>
              <m:r>
                <m:rPr>
                  <m:sty m:val="p"/>
                </m:rPr>
                <m:t>O</m:t>
              </m:r>
              <m:r>
                <m:rPr>
                  <m:sty m:val="p"/>
                </m:rPr>
                <m:t>L</m:t>
              </m:r>
              <m:r>
                <m:rPr>
                  <m:sty m:val="p"/>
                </m:rPr>
                <m:t>Q</m:t>
              </m:r>
              <m:r>
                <m:rPr>
                  <m:sty m:val="p"/>
                </m:rPr>
                <m:t>I</m:t>
              </m:r>
            </m:sub>
          </m:sSub>
          <m:d>
            <m:dPr>
              <m:begChr m:val="("/>
              <m:endChr m:val=")"/>
              <m:sepChr m:val=""/>
              <m:grow/>
            </m:dPr>
            <m:e>
              <m:r>
                <m:t>s</m:t>
              </m:r>
            </m:e>
          </m:d>
          <m:r>
            <m:rPr>
              <m:sty m:val="p"/>
            </m:rPr>
            <m:t>=</m:t>
          </m:r>
          <m:sSubSup>
            <m:e>
              <m:r>
                <m:t>K</m:t>
              </m:r>
            </m:e>
            <m:sub>
              <m:r>
                <m:t>v</m:t>
              </m:r>
            </m:sub>
            <m:sup>
              <m:r>
                <m:t>x</m:t>
              </m:r>
            </m:sup>
          </m:sSubSup>
          <m:r>
            <m:rPr>
              <m:sty m:val="p"/>
            </m:rPr>
            <m:t>+</m:t>
          </m:r>
          <m:f>
            <m:fPr>
              <m:type m:val="bar"/>
            </m:fPr>
            <m:num>
              <m:r>
                <m:t>a</m:t>
              </m:r>
            </m:num>
            <m:den>
              <m:r>
                <m:t>R</m:t>
              </m:r>
            </m:den>
          </m:f>
          <m:r>
            <m:rPr>
              <m:sty m:val="p"/>
            </m:rPr>
            <m:t>+</m:t>
          </m:r>
          <m:r>
            <m:t>C</m:t>
          </m:r>
          <m:r>
            <m:t> </m:t>
          </m:r>
          <m:d>
            <m:dPr>
              <m:begChr m:val="("/>
              <m:endChr m:val=")"/>
              <m:sepChr m:val=""/>
              <m:grow/>
            </m:dPr>
            <m:e>
              <m:r>
                <m:t>a</m:t>
              </m:r>
              <m:r>
                <m:rPr>
                  <m:sty m:val="p"/>
                </m:rPr>
                <m:t>−</m:t>
              </m:r>
              <m:sSub>
                <m:e>
                  <m:r>
                    <m:t>r</m:t>
                  </m:r>
                </m:e>
                <m:sub>
                  <m:r>
                    <m:t>C</m:t>
                  </m:r>
                </m:sub>
              </m:sSub>
              <m:sSubSup>
                <m:e>
                  <m:r>
                    <m:t>K</m:t>
                  </m:r>
                </m:e>
                <m:sub>
                  <m:r>
                    <m:t>v</m:t>
                  </m:r>
                </m:sub>
                <m:sup>
                  <m:r>
                    <m:t>x</m:t>
                  </m:r>
                </m:sup>
              </m:sSubSup>
            </m:e>
          </m:d>
          <m:r>
            <m:t> </m:t>
          </m:r>
          <m:f>
            <m:fPr>
              <m:type m:val="bar"/>
            </m:fPr>
            <m:num>
              <m:r>
                <m:t>N</m:t>
              </m:r>
              <m:r>
                <m:t>s</m:t>
              </m:r>
            </m:num>
            <m:den>
              <m:r>
                <m:t>s</m:t>
              </m:r>
              <m:r>
                <m:rPr>
                  <m:sty m:val="p"/>
                </m:rPr>
                <m:t>+</m:t>
              </m:r>
              <m:r>
                <m:t>N</m:t>
              </m:r>
            </m:den>
          </m:f>
          <m:r>
            <m:rPr>
              <m:sty m:val="p"/>
            </m:rPr>
            <m:t>+</m:t>
          </m:r>
          <m:f>
            <m:fPr>
              <m:type m:val="bar"/>
            </m:fPr>
            <m:num>
              <m:sSub>
                <m:e>
                  <m:r>
                    <m:t>k</m:t>
                  </m:r>
                </m:e>
                <m:sub>
                  <m:r>
                    <m:t>i</m:t>
                  </m:r>
                </m:sub>
              </m:sSub>
            </m:num>
            <m:den>
              <m:sSup>
                <m:e>
                  <m:r>
                    <m:t>s</m:t>
                  </m:r>
                </m:e>
                <m:sup>
                  <m:r>
                    <m:t>α</m:t>
                  </m:r>
                </m:sup>
              </m:sSup>
            </m:den>
          </m:f>
          <m:r>
            <m:rPr>
              <m:sty m:val="p"/>
            </m:rPr>
            <m:t>,</m:t>
          </m:r>
          <m:r>
            <m:t>  </m:t>
          </m:r>
          <m:r>
            <m:t>a</m:t>
          </m:r>
          <m:r>
            <m:rPr>
              <m:sty m:val="p"/>
            </m:rPr>
            <m:t>=</m:t>
          </m:r>
          <m:sSubSup>
            <m:e>
              <m:r>
                <m:t>K</m:t>
              </m:r>
            </m:e>
            <m:sub>
              <m:r>
                <m:t>i</m:t>
              </m:r>
            </m:sub>
            <m:sup>
              <m:r>
                <m:t>x</m:t>
              </m:r>
            </m:sup>
          </m:sSubSup>
          <m:f>
            <m:fPr>
              <m:type m:val="bar"/>
            </m:fPr>
            <m:num>
              <m:r>
                <m:t>V</m:t>
              </m:r>
            </m:num>
            <m:den>
              <m:r>
                <m:t>I</m:t>
              </m:r>
            </m:den>
          </m:f>
          <m:r>
            <m:rPr>
              <m:sty m:val="p"/>
            </m:rPr>
            <m:t>,</m:t>
          </m:r>
          <m:r>
            <m:t> </m:t>
          </m:r>
          <m:r>
            <m:t>N</m:t>
          </m:r>
          <m:r>
            <m:rPr>
              <m:sty m:val="p"/>
            </m:rPr>
            <m:t>=</m:t>
          </m:r>
          <m:f>
            <m:fPr>
              <m:type m:val="bar"/>
            </m:fPr>
            <m:num>
              <m:r>
                <m:t>1</m:t>
              </m:r>
            </m:num>
            <m:den>
              <m:sSub>
                <m:e>
                  <m:r>
                    <m:t>r</m:t>
                  </m:r>
                </m:e>
                <m:sub>
                  <m:r>
                    <m:t>C</m:t>
                  </m:r>
                </m:sub>
              </m:sSub>
              <m:r>
                <m:t>C</m:t>
              </m:r>
            </m:den>
          </m:f>
          <m:r>
            <m:rPr>
              <m:sty m:val="p"/>
            </m:rPr>
            <m:t>,</m:t>
          </m:r>
          <m:r>
            <m:t> </m:t>
          </m:r>
          <m:sSub>
            <m:e>
              <m:r>
                <m:t>k</m:t>
              </m:r>
            </m:e>
            <m:sub>
              <m:r>
                <m:t>i</m:t>
              </m:r>
            </m:sub>
          </m:sSub>
          <m:r>
            <m:rPr>
              <m:sty m:val="p"/>
            </m:rPr>
            <m:t>=</m:t>
          </m:r>
          <m:r>
            <m:rPr>
              <m:sty m:val="p"/>
            </m:rPr>
            <m:t>−</m:t>
          </m:r>
          <m:f>
            <m:fPr>
              <m:type m:val="bar"/>
            </m:fPr>
            <m:num>
              <m:sSub>
                <m:e>
                  <m:r>
                    <m:t>K</m:t>
                  </m:r>
                </m:e>
                <m:sub>
                  <m:r>
                    <m:t>z</m:t>
                  </m:r>
                </m:sub>
              </m:sSub>
            </m:num>
            <m:den>
              <m:sSubSup>
                <m:e>
                  <m:r>
                    <m:t>T</m:t>
                  </m:r>
                </m:e>
                <m:sub>
                  <m:r>
                    <m:t>0</m:t>
                  </m:r>
                </m:sub>
                <m:sup>
                  <m:r>
                    <m:t>α</m:t>
                  </m:r>
                </m:sup>
              </m:sSubSup>
            </m:den>
          </m:f>
          <m:r>
            <m:rPr>
              <m:sty m:val="p"/>
            </m:rPr>
            <m:t>,</m:t>
          </m:r>
        </m:oMath>
      </m:oMathPara>
    </w:p>
    <w:p>
      <w:pPr>
        <w:pStyle w:val="FirstParagraph"/>
      </w:pPr>
      <w:r>
        <w:t xml:space="preserve">d’où l’ancrage</w:t>
      </w:r>
      <w:r>
        <w:t xml:space="preserve"> </w:t>
      </w:r>
      <m:oMath>
        <m:sSub>
          <m:e>
            <m:r>
              <m:t>k</m:t>
            </m:r>
          </m:e>
          <m:sub>
            <m:r>
              <m:t>p</m:t>
            </m:r>
          </m:sub>
        </m:sSub>
        <m:r>
          <m:rPr>
            <m:sty m:val="p"/>
          </m:rPr>
          <m:t>=</m:t>
        </m:r>
        <m:sSubSup>
          <m:e>
            <m:r>
              <m:t>K</m:t>
            </m:r>
          </m:e>
          <m:sub>
            <m:r>
              <m:t>v</m:t>
            </m:r>
          </m:sub>
          <m:sup>
            <m:r>
              <m:t>x</m:t>
            </m:r>
          </m:sup>
        </m:sSubSup>
        <m:r>
          <m:rPr>
            <m:sty m:val="p"/>
          </m:rPr>
          <m:t>+</m:t>
        </m:r>
        <m:r>
          <m:t>a</m:t>
        </m:r>
        <m:r>
          <m:rPr>
            <m:sty m:val="p"/>
          </m:rPr>
          <m:t>/</m:t>
        </m:r>
        <m:r>
          <m:t>R</m:t>
        </m:r>
      </m:oMath>
      <w:r>
        <w:t xml:space="preserve">,</w:t>
      </w:r>
      <w:r>
        <w:t xml:space="preserve"> </w:t>
      </w:r>
      <m:oMath>
        <m:sSub>
          <m:e>
            <m:r>
              <m:t>k</m:t>
            </m:r>
          </m:e>
          <m:sub>
            <m:r>
              <m:t>d</m:t>
            </m:r>
          </m:sub>
        </m:sSub>
        <m:r>
          <m:rPr>
            <m:sty m:val="p"/>
          </m:rPr>
          <m:t>=</m:t>
        </m:r>
        <m:r>
          <m:t>C</m:t>
        </m:r>
        <m:d>
          <m:dPr>
            <m:begChr m:val="("/>
            <m:endChr m:val=")"/>
            <m:sepChr m:val=""/>
            <m:grow/>
          </m:dPr>
          <m:e>
            <m:r>
              <m:t>a</m:t>
            </m:r>
            <m:r>
              <m:rPr>
                <m:sty m:val="p"/>
              </m:rPr>
              <m:t>−</m:t>
            </m:r>
            <m:sSub>
              <m:e>
                <m:r>
                  <m:t>r</m:t>
                </m:r>
              </m:e>
              <m:sub>
                <m:r>
                  <m:t>C</m:t>
                </m:r>
              </m:sub>
            </m:sSub>
            <m:sSubSup>
              <m:e>
                <m:r>
                  <m:t>K</m:t>
                </m:r>
              </m:e>
              <m:sub>
                <m:r>
                  <m:t>v</m:t>
                </m:r>
              </m:sub>
              <m:sup>
                <m:r>
                  <m:t>x</m:t>
                </m:r>
              </m:sup>
            </m:sSubSup>
          </m:e>
        </m:d>
      </m:oMath>
      <w:r>
        <w:t xml:space="preserve">,</w:t>
      </w:r>
      <w:r>
        <w:t xml:space="preserve"> </w:t>
      </w:r>
      <m:oMath>
        <m:sSub>
          <m:e>
            <m:r>
              <m:t>ω</m:t>
            </m:r>
          </m:e>
          <m:sub>
            <m:r>
              <m:t>f</m:t>
            </m:r>
          </m:sub>
        </m:sSub>
        <m:r>
          <m:rPr>
            <m:sty m:val="p"/>
          </m:rPr>
          <m:t>=</m:t>
        </m:r>
        <m:r>
          <m:rPr>
            <m:sty m:val="p"/>
          </m:rPr>
          <m:t>c</m:t>
        </m:r>
        <m:r>
          <m:rPr>
            <m:sty m:val="p"/>
          </m:rPr>
          <m:t>l</m:t>
        </m:r>
        <m:r>
          <m:rPr>
            <m:sty m:val="p"/>
          </m:rPr>
          <m:t>i</m:t>
        </m:r>
        <m:r>
          <m:rPr>
            <m:sty m:val="p"/>
          </m:rPr>
          <m:t>p</m:t>
        </m:r>
        <m:d>
          <m:dPr>
            <m:begChr m:val="("/>
            <m:endChr m:val=")"/>
            <m:sepChr m:val=""/>
            <m:grow/>
          </m:dPr>
          <m:e>
            <m:r>
              <m:t>N</m:t>
            </m:r>
            <m:r>
              <m:rPr>
                <m:sty m:val="p"/>
              </m:rPr>
              <m:t>;</m:t>
            </m:r>
            <m:r>
              <m:t>20</m:t>
            </m:r>
            <m:r>
              <m:rPr>
                <m:sty m:val="p"/>
              </m:rPr>
              <m:t>;</m:t>
            </m:r>
            <m:r>
              <m:t>2</m:t>
            </m:r>
            <m:r>
              <m:rPr>
                <m:sty m:val="p"/>
              </m:rPr>
              <m:t>⋅</m:t>
            </m:r>
            <m:sSup>
              <m:e>
                <m:r>
                  <m:t>10</m:t>
                </m:r>
              </m:e>
              <m:sup>
                <m:r>
                  <m:t>4</m:t>
                </m:r>
              </m:sup>
            </m:sSup>
          </m:e>
        </m:d>
      </m:oMath>
      <w:r>
        <w:t xml:space="preserve">,</w:t>
      </w:r>
      <w:r>
        <w:t xml:space="preserve"> </w:t>
      </w:r>
      <m:oMath>
        <m:r>
          <m:t>b</m:t>
        </m:r>
        <m:r>
          <m:rPr>
            <m:sty m:val="p"/>
          </m:rPr>
          <m:t>=</m:t>
        </m:r>
        <m:r>
          <m:t>1</m:t>
        </m:r>
      </m:oMath>
      <w:r>
        <w:t xml:space="preserve">,</w:t>
      </w:r>
      <w:r>
        <w:t xml:space="preserve"> </w:t>
      </w:r>
      <m:oMath>
        <m:r>
          <m:t>c</m:t>
        </m:r>
        <m:r>
          <m:rPr>
            <m:sty m:val="p"/>
          </m:rPr>
          <m:t>=</m:t>
        </m:r>
        <m:r>
          <m:t>0</m:t>
        </m:r>
      </m:oMath>
      <w:r>
        <w:t xml:space="preserve">. Le facteur</w:t>
      </w:r>
      <w:r>
        <w:t xml:space="preserve"> </w:t>
      </w:r>
      <m:oMath>
        <m:sSubSup>
          <m:e>
            <m:r>
              <m:t>T</m:t>
            </m:r>
          </m:e>
          <m:sub>
            <m:r>
              <m:t>0</m:t>
            </m:r>
          </m:sub>
          <m:sup>
            <m:r>
              <m:t>α</m:t>
            </m:r>
          </m:sup>
        </m:sSubSup>
      </m:oMath>
      <w:r>
        <w:t xml:space="preserve"> </w:t>
      </w:r>
      <w:r>
        <w:t xml:space="preserve">est la voie par laquelle l’ordre parent</w:t>
      </w:r>
      <w:r>
        <w:t xml:space="preserve"> </w:t>
      </w:r>
      <m:oMath>
        <m:r>
          <m:t>α</m:t>
        </m:r>
      </m:oMath>
      <w:r>
        <w:t xml:space="preserve"> </w:t>
      </w:r>
      <w:r>
        <w:t xml:space="preserve">agit sur la</w:t>
      </w:r>
      <w:r>
        <w:t xml:space="preserve"> </w:t>
      </w:r>
      <w:r>
        <w:t xml:space="preserve">synthèse : l’état de mémoire est une intégrale d’ordre</w:t>
      </w:r>
      <w:r>
        <w:t xml:space="preserve"> </w:t>
      </w:r>
      <m:oMath>
        <m:r>
          <m:t>α</m:t>
        </m:r>
      </m:oMath>
      <w:r>
        <w:t xml:space="preserve"> </w:t>
      </w:r>
      <w:r>
        <w:t xml:space="preserve">en temps</w:t>
      </w:r>
      <w:r>
        <w:t xml:space="preserve"> </w:t>
      </w:r>
      <w:r>
        <w:t xml:space="preserve">normalisé. L’ordre intégral de la projection est ensuite remplacé par</w:t>
      </w:r>
      <w:r>
        <w:t xml:space="preserve"> </w:t>
      </w:r>
      <m:oMath>
        <m:r>
          <m:t>λ</m:t>
        </m:r>
      </m:oMath>
      <w:r>
        <w:t xml:space="preserve">, et l’ordre dérivé est</w:t>
      </w:r>
      <w:r>
        <w:t xml:space="preserve"> </w:t>
      </w:r>
      <m:oMath>
        <m:r>
          <m:t>μ</m:t>
        </m:r>
      </m:oMath>
      <w:r>
        <w:t xml:space="preserve">.</w:t>
      </w:r>
    </w:p>
    <w:p>
      <w:pPr>
        <w:pStyle w:val="BodyText"/>
      </w:pPr>
      <w:r>
        <w:t xml:space="preserve">Dans le cas entier (</w:t>
      </w:r>
      <m:oMath>
        <m:r>
          <m:t>α</m:t>
        </m:r>
        <m:r>
          <m:rPr>
            <m:sty m:val="p"/>
          </m:rPr>
          <m:t>=</m:t>
        </m:r>
        <m:r>
          <m:t>λ</m:t>
        </m:r>
        <m:r>
          <m:rPr>
            <m:sty m:val="p"/>
          </m:rPr>
          <m:t>=</m:t>
        </m:r>
        <m:r>
          <m:t>μ</m:t>
        </m:r>
        <m:r>
          <m:rPr>
            <m:sty m:val="p"/>
          </m:rPr>
          <m:t>=</m:t>
        </m:r>
        <m:r>
          <m:t>1</m:t>
        </m:r>
      </m:oMath>
      <w:r>
        <w:t xml:space="preserve">, pôle exact), la</w:t>
      </w:r>
      <w:r>
        <w:t xml:space="preserve"> </w:t>
      </w:r>
      <w:r>
        <w:t xml:space="preserve">relation </w:t>
      </w:r>
      <w:hyperlink w:anchor="eq:projection">
        <w:r>
          <w:rPr>
            <w:rStyle w:val="Hyperlink"/>
          </w:rPr>
          <w:t xml:space="preserve">[eq:projection]</w:t>
        </w:r>
      </w:hyperlink>
      <w:r>
        <w:t xml:space="preserve"> </w:t>
      </w:r>
      <w:r>
        <w:t xml:space="preserve">reproduit la proposition 1 de l’étude</w:t>
      </w:r>
      <w:r>
        <w:t xml:space="preserve"> </w:t>
      </w:r>
      <w:r>
        <w:t xml:space="preserve">antérieure avec une erreur relative de</w:t>
      </w:r>
      <w:r>
        <w:t xml:space="preserve"> </w:t>
      </w:r>
      <m:oMath>
        <m:r>
          <m:t>5</m:t>
        </m:r>
        <m:r>
          <m:rPr>
            <m:sty m:val="p"/>
          </m:rPr>
          <m:t>,</m:t>
        </m:r>
        <m:r>
          <m:t>4</m:t>
        </m:r>
        <m:r>
          <m:rPr>
            <m:sty m:val="p"/>
          </m:rPr>
          <m:t>×</m:t>
        </m:r>
        <m:sSup>
          <m:e>
            <m:r>
              <m:t>10</m:t>
            </m:r>
          </m:e>
          <m:sup>
            <m:r>
              <m:rPr>
                <m:sty m:val="p"/>
              </m:rPr>
              <m:t>−</m:t>
            </m:r>
            <m:r>
              <m:t>16</m:t>
            </m:r>
          </m:sup>
        </m:sSup>
      </m:oMath>
      <w:r>
        <w:t xml:space="preserve"> </w:t>
      </w:r>
      <w:r>
        <w:t xml:space="preserve">sur</w:t>
      </w:r>
      <w:r>
        <w:t xml:space="preserve"> </w:t>
      </w:r>
      <m:oMath>
        <m:d>
          <m:dPr>
            <m:begChr m:val="["/>
            <m:endChr m:val="]"/>
            <m:sepChr m:val=""/>
            <m:grow/>
          </m:dPr>
          <m:e>
            <m:r>
              <m:t>1</m:t>
            </m:r>
            <m:r>
              <m:rPr>
                <m:sty m:val="p"/>
              </m:rPr>
              <m:t>;</m:t>
            </m:r>
            <m:sSup>
              <m:e>
                <m:r>
                  <m:t>10</m:t>
                </m:r>
              </m:e>
              <m:sup>
                <m:r>
                  <m:t>6</m:t>
                </m:r>
              </m:sup>
            </m:sSup>
          </m:e>
        </m:d>
      </m:oMath>
      <w:r>
        <w:t xml:space="preserve"> rad/s.</w:t>
      </w:r>
      <w:r>
        <w:t xml:space="preserve"> </w:t>
      </w:r>
      <w:r>
        <w:rPr>
          <w:bCs/>
          <w:b/>
        </w:rPr>
        <w:t xml:space="preserve">C’est le seul cas exact.</w:t>
      </w:r>
      <w:r>
        <w:t xml:space="preserve"> </w:t>
      </w:r>
      <w:r>
        <w:t xml:space="preserve">La projection du pôle</w:t>
      </w:r>
      <w:r>
        <w:t xml:space="preserve"> </w:t>
      </w:r>
      <m:oMath>
        <m:r>
          <m:t>N</m:t>
        </m:r>
        <m:r>
          <m:rPr>
            <m:sty m:val="p"/>
          </m:rPr>
          <m:t>=</m:t>
        </m:r>
        <m:r>
          <m:t>2</m:t>
        </m:r>
        <m:r>
          <m:rPr>
            <m:sty m:val="p"/>
          </m:rPr>
          <m:t>⋅</m:t>
        </m:r>
        <m:sSup>
          <m:e>
            <m:r>
              <m:t>10</m:t>
            </m:r>
          </m:e>
          <m:sup>
            <m:r>
              <m:t>5</m:t>
            </m:r>
          </m:sup>
        </m:sSup>
      </m:oMath>
      <w:r>
        <w:t xml:space="preserve"> rad/s dans la bande</w:t>
      </w:r>
      <w:r>
        <w:t xml:space="preserve"> </w:t>
      </w:r>
      <m:oMath>
        <m:d>
          <m:dPr>
            <m:begChr m:val="["/>
            <m:endChr m:val="]"/>
            <m:sepChr m:val=""/>
            <m:grow/>
          </m:dPr>
          <m:e>
            <m:r>
              <m:t>20</m:t>
            </m:r>
            <m:r>
              <m:rPr>
                <m:sty m:val="p"/>
              </m:rPr>
              <m:t>;</m:t>
            </m:r>
            <m:r>
              <m:t>2</m:t>
            </m:r>
            <m:r>
              <m:rPr>
                <m:sty m:val="p"/>
              </m:rPr>
              <m:t>⋅</m:t>
            </m:r>
            <m:sSup>
              <m:e>
                <m:r>
                  <m:t>10</m:t>
                </m:r>
              </m:e>
              <m:sup>
                <m:r>
                  <m:t>4</m:t>
                </m:r>
              </m:sup>
            </m:sSup>
          </m:e>
        </m:d>
      </m:oMath>
      <w:r>
        <w:t xml:space="preserve"> rad/s introduit à elle</w:t>
      </w:r>
      <w:r>
        <w:t xml:space="preserve"> </w:t>
      </w:r>
      <w:r>
        <w:t xml:space="preserve">seule une erreur relative de</w:t>
      </w:r>
      <w:r>
        <w:t xml:space="preserve"> </w:t>
      </w:r>
      <m:oMath>
        <m:r>
          <m:t>63</m:t>
        </m:r>
        <m:r>
          <m:t> </m:t>
        </m:r>
        <m:r>
          <m:rPr>
            <m:sty m:val="p"/>
          </m:rPr>
          <m:t>%</m:t>
        </m:r>
      </m:oMath>
      <w:r>
        <w:t xml:space="preserve"> </w:t>
      </w:r>
      <w:r>
        <w:t xml:space="preserve">en haut de bande.</w:t>
      </w:r>
      <w:r>
        <w:t xml:space="preserve"> </w:t>
      </w:r>
      <w:r>
        <w:t xml:space="preserve">L’identité FO-LQI</w:t>
      </w:r>
      <w:r>
        <w:t xml:space="preserve"> </w:t>
      </w:r>
      <m:oMath>
        <m:r>
          <m:rPr>
            <m:sty m:val="p"/>
          </m:rPr>
          <m:t>→</m:t>
        </m:r>
      </m:oMath>
      <w:r>
        <w:t xml:space="preserve"> </w:t>
      </w:r>
      <w:r>
        <w:t xml:space="preserve">FO-PIDF n’est donc ni générale ni exacte ; nous la</w:t>
      </w:r>
      <w:r>
        <w:t xml:space="preserve"> </w:t>
      </w:r>
      <w:r>
        <w:t xml:space="preserve">traitons comme un ancrage, jamais comme une équivalence ni comme une preuve</w:t>
      </w:r>
      <w:r>
        <w:t xml:space="preserve"> </w:t>
      </w:r>
      <w:r>
        <w:t xml:space="preserve">d’optimalité fractionnaire.</w:t>
      </w:r>
    </w:p>
    <w:bookmarkEnd w:id="29"/>
    <w:bookmarkStart w:id="30" w:name="sec:audit"/>
    <w:p>
      <w:pPr>
        <w:pStyle w:val="Heading2"/>
      </w:pPr>
      <w:r>
        <w:t xml:space="preserve">Audit de saturation des bornes</w:t>
      </w:r>
    </w:p>
    <w:p>
      <w:pPr>
        <w:pStyle w:val="FirstParagraph"/>
      </w:pPr>
      <w:r>
        <w:t xml:space="preserve">Une campagne antérieure a consommé plus de 1800 évaluations sans jamais</w:t>
      </w:r>
      <w:r>
        <w:t xml:space="preserve"> </w:t>
      </w:r>
      <w:r>
        <w:t xml:space="preserve">atteindre la faisabilité robuste, et son diagnostic mettait en cause</w:t>
      </w:r>
      <w:r>
        <w:t xml:space="preserve"> </w:t>
      </w:r>
      <w:r>
        <w:t xml:space="preserve">l’écrêtage de</w:t>
      </w:r>
      <w:r>
        <w:t xml:space="preserve"> </w:t>
      </w:r>
      <m:oMath>
        <m:sSub>
          <m:e>
            <m:r>
              <m:rPr>
                <m:sty m:val="p"/>
              </m:rPr>
              <m:t>log</m:t>
            </m:r>
          </m:e>
          <m:sub>
            <m:r>
              <m:t>10</m:t>
            </m:r>
          </m:sub>
        </m:sSub>
        <m:sSub>
          <m:e>
            <m:r>
              <m:t>k</m:t>
            </m:r>
          </m:e>
          <m:sub>
            <m:r>
              <m:t>p</m:t>
            </m:r>
          </m:sub>
        </m:sSub>
      </m:oMath>
      <w:r>
        <w:t xml:space="preserve"> </w:t>
      </w:r>
      <w:r>
        <w:t xml:space="preserve">sur la borne</w:t>
      </w:r>
      <w:r>
        <w:t xml:space="preserve"> </w:t>
      </w:r>
      <m:oMath>
        <m:r>
          <m:rPr>
            <m:sty m:val="p"/>
          </m:rPr>
          <m:t>−</m:t>
        </m:r>
        <m:r>
          <m:t>4</m:t>
        </m:r>
      </m:oMath>
      <w:r>
        <w:t xml:space="preserve">, atteinte dans</w:t>
      </w:r>
      <w:r>
        <w:t xml:space="preserve"> </w:t>
      </w:r>
      <m:oMath>
        <m:r>
          <m:t>79</m:t>
        </m:r>
        <m:r>
          <m:rPr>
            <m:sty m:val="p"/>
          </m:rPr>
          <m:t>,</m:t>
        </m:r>
        <m:r>
          <m:t>0</m:t>
        </m:r>
        <m:r>
          <m:t> </m:t>
        </m:r>
        <m:r>
          <m:rPr>
            <m:sty m:val="p"/>
          </m:rPr>
          <m:t>%</m:t>
        </m:r>
      </m:oMath>
      <w:r>
        <w:t xml:space="preserve"> </w:t>
      </w:r>
      <w:r>
        <w:t xml:space="preserve">des</w:t>
      </w:r>
      <w:r>
        <w:t xml:space="preserve"> </w:t>
      </w:r>
      <w:r>
        <w:t xml:space="preserve">candidats. Nous traitons donc chaque borne comme un objet de mesure : pour</w:t>
      </w:r>
      <w:r>
        <w:t xml:space="preserve"> </w:t>
      </w:r>
      <w:r>
        <w:t xml:space="preserve">chaque composante de</w:t>
      </w:r>
      <w:r>
        <w:t xml:space="preserve"> </w:t>
      </w:r>
      <m:oMath>
        <m:r>
          <m:t>θ</m:t>
        </m:r>
      </m:oMath>
      <w:r>
        <w:t xml:space="preserve">, nous rapportons la fraction des projections</w:t>
      </w:r>
      <w:r>
        <w:t xml:space="preserve"> </w:t>
      </w:r>
      <w:r>
        <w:t xml:space="preserve">qui touchent chaque borne, sur 4096 tirages Sobol de la boîte de</w:t>
      </w:r>
      <w:r>
        <w:t xml:space="preserve"> </w:t>
      </w:r>
      <w:r>
        <w:t xml:space="preserve">décision. Nous distinguons deux natures de saturation. Une saturation</w:t>
      </w:r>
      <w:r>
        <w:t xml:space="preserve"> </w:t>
      </w:r>
      <w:r>
        <w:rPr>
          <w:iCs/>
          <w:i/>
        </w:rPr>
        <w:t xml:space="preserve">structurelle</w:t>
      </w:r>
      <w:r>
        <w:t xml:space="preserve"> </w:t>
      </w:r>
      <w:r>
        <w:t xml:space="preserve">touche une composante constante de la synthèse : la borne</w:t>
      </w:r>
      <w:r>
        <w:t xml:space="preserve"> </w:t>
      </w:r>
      <w:r>
        <w:t xml:space="preserve">ne retire alors aucun degré de liberté, elle rend seulement visible une</w:t>
      </w:r>
      <w:r>
        <w:t xml:space="preserve"> </w:t>
      </w:r>
      <w:r>
        <w:t xml:space="preserve">identité. Une saturation</w:t>
      </w:r>
      <w:r>
        <w:t xml:space="preserve"> </w:t>
      </w:r>
      <w:r>
        <w:rPr>
          <w:iCs/>
          <w:i/>
        </w:rPr>
        <w:t xml:space="preserve">pathologique</w:t>
      </w:r>
      <w:r>
        <w:t xml:space="preserve"> </w:t>
      </w:r>
      <w:r>
        <w:t xml:space="preserve">touche une composante qui varie</w:t>
      </w:r>
      <w:r>
        <w:t xml:space="preserve"> </w:t>
      </w:r>
      <w:r>
        <w:t xml:space="preserve">et vient buter sur la borne : celle-ci tronque effectivement la recherche.</w:t>
      </w:r>
    </w:p>
    <w:bookmarkEnd w:id="30"/>
    <w:bookmarkStart w:id="35" w:name="sec:recherche"/>
    <w:p>
      <w:pPr>
        <w:pStyle w:val="Heading2"/>
      </w:pPr>
      <w:r>
        <w:t xml:space="preserve">Recherche étagée et six métaheuristiques</w:t>
      </w:r>
    </w:p>
    <w:bookmarkStart w:id="31" w:name="vecteur-de-décision."/>
    <w:p>
      <w:pPr>
        <w:pStyle w:val="Heading4"/>
      </w:pPr>
      <w:r>
        <w:t xml:space="preserve">Vecteur de décision.</w:t>
      </w:r>
    </w:p>
    <w:p>
      <w:pPr>
        <w:pStyle w:val="FirstParagraph"/>
      </w:pPr>
      <w:r>
        <w:t xml:space="preserve">Le vecteur v5 porte sur la</w:t>
      </w:r>
      <w:r>
        <w:t xml:space="preserve"> </w:t>
      </w:r>
      <w:r>
        <w:rPr>
          <w:iCs/>
          <w:i/>
        </w:rPr>
        <w:t xml:space="preserve">synthèse</w:t>
      </w:r>
      <w:r>
        <w:t xml:space="preserve"> </w:t>
      </w:r>
      <w:r>
        <w:t xml:space="preserve">et non sur le correcteur final :</w:t>
      </w:r>
      <w:r>
        <w:t xml:space="preserve"> </w:t>
      </w:r>
      <m:oMath>
        <m:r>
          <m:t>x</m:t>
        </m:r>
        <m:r>
          <m:rPr>
            <m:sty m:val="p"/>
          </m:rPr>
          <m:t>=</m:t>
        </m:r>
        <m:d>
          <m:dPr>
            <m:begChr m:val="["/>
            <m:endChr m:val="]"/>
            <m:sepChr m:val=""/>
            <m:grow/>
          </m:dPr>
          <m:e>
            <m:r>
              <m:rPr>
                <m:sty m:val="p"/>
              </m:rPr>
              <m:t>log</m:t>
            </m:r>
            <m:sSub>
              <m:e>
                <m:r>
                  <m:t>q</m:t>
                </m:r>
              </m:e>
              <m:sub>
                <m:r>
                  <m:t>i</m:t>
                </m:r>
              </m:sub>
            </m:sSub>
            <m:r>
              <m:rPr>
                <m:sty m:val="p"/>
              </m:rPr>
              <m:t>,</m:t>
            </m:r>
            <m:r>
              <m:rPr>
                <m:sty m:val="p"/>
              </m:rPr>
              <m:t>log</m:t>
            </m:r>
            <m:sSub>
              <m:e>
                <m:r>
                  <m:t>q</m:t>
                </m:r>
              </m:e>
              <m:sub>
                <m:r>
                  <m:t>v</m:t>
                </m:r>
              </m:sub>
            </m:sSub>
            <m:r>
              <m:rPr>
                <m:sty m:val="p"/>
              </m:rPr>
              <m:t>,</m:t>
            </m:r>
            <m:r>
              <m:rPr>
                <m:sty m:val="p"/>
              </m:rPr>
              <m:t>log</m:t>
            </m:r>
            <m:sSub>
              <m:e>
                <m:r>
                  <m:t>q</m:t>
                </m:r>
              </m:e>
              <m:sub>
                <m:r>
                  <m:rPr>
                    <m:sty m:val="p"/>
                  </m:rPr>
                  <m:t>m</m:t>
                </m:r>
                <m:r>
                  <m:rPr>
                    <m:sty m:val="p"/>
                  </m:rPr>
                  <m:t>e</m:t>
                </m:r>
                <m:r>
                  <m:rPr>
                    <m:sty m:val="p"/>
                  </m:rPr>
                  <m:t>m</m:t>
                </m:r>
              </m:sub>
            </m:sSub>
            <m:r>
              <m:rPr>
                <m:sty m:val="p"/>
              </m:rPr>
              <m:t>,</m:t>
            </m:r>
            <m:r>
              <m:t>α</m:t>
            </m:r>
            <m:r>
              <m:rPr>
                <m:sty m:val="p"/>
              </m:rPr>
              <m:t>,</m:t>
            </m:r>
            <m:r>
              <m:t>μ</m:t>
            </m:r>
            <m:r>
              <m:rPr>
                <m:sty m:val="p"/>
              </m:rPr>
              <m:t>,</m:t>
            </m:r>
            <m:sSub>
              <m:e>
                <m:r>
                  <m:rPr>
                    <m:sty m:val="p"/>
                  </m:rPr>
                  <m:t>log</m:t>
                </m:r>
              </m:e>
              <m:sub>
                <m:r>
                  <m:t>10</m:t>
                </m:r>
              </m:sub>
            </m:sSub>
            <m:sSub>
              <m:e>
                <m:r>
                  <m:t>τ</m:t>
                </m:r>
              </m:e>
              <m:sub>
                <m:r>
                  <m:rPr>
                    <m:sty m:val="p"/>
                  </m:rPr>
                  <m:t>a</m:t>
                </m:r>
                <m:r>
                  <m:rPr>
                    <m:sty m:val="p"/>
                  </m:rPr>
                  <m:t>w</m:t>
                </m:r>
              </m:sub>
            </m:sSub>
            <m:r>
              <m:rPr>
                <m:sty m:val="p"/>
              </m:rPr>
              <m:t>,</m:t>
            </m:r>
            <m:r>
              <m:t>λ</m:t>
            </m:r>
          </m:e>
        </m:d>
      </m:oMath>
      <w:r>
        <w:t xml:space="preserve">,</w:t>
      </w:r>
      <w:r>
        <w:t xml:space="preserve"> </w:t>
      </w:r>
      <w:r>
        <w:t xml:space="preserve">avec</w:t>
      </w:r>
      <w:r>
        <w:t xml:space="preserve"> </w:t>
      </w:r>
      <m:oMath>
        <m:r>
          <m:t>λ</m:t>
        </m:r>
      </m:oMath>
      <w:r>
        <w:t xml:space="preserve"> </w:t>
      </w:r>
      <w:r>
        <w:t xml:space="preserve">en septième position et</w:t>
      </w:r>
      <w:r>
        <w:t xml:space="preserve"> </w:t>
      </w:r>
      <m:oMath>
        <m:r>
          <m:t>μ</m:t>
        </m:r>
      </m:oMath>
      <w:r>
        <w:t xml:space="preserve"> </w:t>
      </w:r>
      <w:r>
        <w:t xml:space="preserve">en cinquième.</w:t>
      </w:r>
    </w:p>
    <w:bookmarkEnd w:id="31"/>
    <w:bookmarkStart w:id="32" w:name="méthodes."/>
    <w:p>
      <w:pPr>
        <w:pStyle w:val="Heading4"/>
      </w:pPr>
      <w:r>
        <w:t xml:space="preserve">Méthodes.</w:t>
      </w:r>
    </w:p>
    <w:p>
      <w:pPr>
        <w:pStyle w:val="FirstParagraph"/>
      </w:pPr>
      <w:r>
        <w:t xml:space="preserve">PSO, GA, ABC et trois variantes de projet — pAEABC, pIGWO et pIGWO-DLH —</w:t>
      </w:r>
      <w:r>
        <w:t xml:space="preserve"> </w:t>
      </w:r>
      <w:r>
        <w:t xml:space="preserve">reprennent les opérateurs de l’étude antérieure. Le préfixe « p » signale que</w:t>
      </w:r>
      <w:r>
        <w:t xml:space="preserve"> </w:t>
      </w:r>
      <w:r>
        <w:t xml:space="preserve">l’identité opérateur par opérateur avec les publications d’origine n’est pas</w:t>
      </w:r>
      <w:r>
        <w:t xml:space="preserve"> </w:t>
      </w:r>
      <w:r>
        <w:t xml:space="preserve">établie. Toutes reçoivent la même boîte, la même population initiale pour une</w:t>
      </w:r>
      <w:r>
        <w:t xml:space="preserve"> </w:t>
      </w:r>
      <w:r>
        <w:t xml:space="preserve">graine donnée (population 10), le même comparateur de Deb et le même budget</w:t>
      </w:r>
      <w:r>
        <w:t xml:space="preserve"> </w:t>
      </w:r>
      <w:r>
        <w:t xml:space="preserve">compté en</w:t>
      </w:r>
      <w:r>
        <w:t xml:space="preserve"> </w:t>
      </w:r>
      <w:r>
        <w:rPr>
          <w:iCs/>
          <w:i/>
        </w:rPr>
        <w:t xml:space="preserve">appels d’évaluateur</w:t>
      </w:r>
      <w:r>
        <w:t xml:space="preserve"> </w:t>
      </w:r>
      <w:r>
        <w:t xml:space="preserve">; pIGWO-DLH consommant deux appels par</w:t>
      </w:r>
      <w:r>
        <w:t xml:space="preserve"> </w:t>
      </w:r>
      <w:r>
        <w:t xml:space="preserve">comparaison, elle effectue moins d’itérations à budget égal, ce qui est voulu.</w:t>
      </w:r>
    </w:p>
    <w:bookmarkEnd w:id="32"/>
    <w:bookmarkStart w:id="33" w:name="comparateur."/>
    <w:p>
      <w:pPr>
        <w:pStyle w:val="Heading4"/>
      </w:pPr>
      <w:r>
        <w:t xml:space="preserve">Comparateur.</w:t>
      </w:r>
    </w:p>
    <w:p>
      <w:pPr>
        <w:pStyle w:val="FirstParagraph"/>
      </w:pPr>
      <w:r>
        <w:t xml:space="preserve">Faisable précède infaisable ; entre infaisables, la plus faible violation</w:t>
      </w:r>
      <w:r>
        <w:t xml:space="preserve"> </w:t>
      </w:r>
      <w:r>
        <w:t xml:space="preserve">l’emporte ; entre faisables, nous classons par</w:t>
      </w:r>
      <w:r>
        <w:t xml:space="preserve"> </w:t>
      </w:r>
      <w:r>
        <w:rPr>
          <w:iCs/>
          <w:i/>
        </w:rPr>
        <w:t xml:space="preserve">marge décroissante</w:t>
      </w:r>
      <w:r>
        <w:t xml:space="preserve"> </w:t>
      </w:r>
      <w:r>
        <w:t xml:space="preserve">et non</w:t>
      </w:r>
      <w:r>
        <w:t xml:space="preserve"> </w:t>
      </w:r>
      <w:r>
        <w:t xml:space="preserve">par</w:t>
      </w:r>
      <w:r>
        <w:t xml:space="preserve"> </w:t>
      </w:r>
      <m:oMath>
        <m:r>
          <m:t>J</m:t>
        </m:r>
      </m:oMath>
      <w:r>
        <w:t xml:space="preserve"> </w:t>
      </w:r>
      <w:r>
        <w:t xml:space="preserve">croissant. Le classement par</w:t>
      </w:r>
      <w:r>
        <w:t xml:space="preserve"> </w:t>
      </w:r>
      <m:oMath>
        <m:r>
          <m:t>J</m:t>
        </m:r>
      </m:oMath>
      <w:r>
        <w:t xml:space="preserve"> </w:t>
      </w:r>
      <w:r>
        <w:t xml:space="preserve">produit en effet des candidats collés</w:t>
      </w:r>
      <w:r>
        <w:t xml:space="preserve"> </w:t>
      </w:r>
      <w:r>
        <w:t xml:space="preserve">à la frontière (marge nominale médiane</w:t>
      </w:r>
      <w:r>
        <w:t xml:space="preserve"> </w:t>
      </w:r>
      <m:oMath>
        <m:r>
          <m:t>0</m:t>
        </m:r>
        <m:r>
          <m:rPr>
            <m:sty m:val="p"/>
          </m:rPr>
          <m:t>,</m:t>
        </m:r>
        <m:r>
          <m:t>0066</m:t>
        </m:r>
      </m:oMath>
      <w:r>
        <w:t xml:space="preserve"> </w:t>
      </w:r>
      <w:r>
        <w:t xml:space="preserve">dans l’étude antérieure,</w:t>
      </w:r>
      <w:r>
        <w:t xml:space="preserve"> </w:t>
      </w:r>
      <w:r>
        <w:t xml:space="preserve">corrélation marge/violation robuste</w:t>
      </w:r>
      <w:r>
        <w:t xml:space="preserve"> </w:t>
      </w:r>
      <m:oMath>
        <m:r>
          <m:rPr>
            <m:sty m:val="p"/>
          </m:rPr>
          <m:t>−</m:t>
        </m:r>
        <m:r>
          <m:t>0</m:t>
        </m:r>
        <m:r>
          <m:rPr>
            <m:sty m:val="p"/>
          </m:rPr>
          <m:t>,</m:t>
        </m:r>
        <m:r>
          <m:t>821</m:t>
        </m:r>
      </m:oMath>
      <w:r>
        <w:t xml:space="preserve">), soit les pires points de</w:t>
      </w:r>
      <w:r>
        <w:t xml:space="preserve"> </w:t>
      </w:r>
      <w:r>
        <w:t xml:space="preserve">départ pour la robustesse. Le critère final est lexicographique : faisabilité</w:t>
      </w:r>
      <w:r>
        <w:t xml:space="preserve"> </w:t>
      </w:r>
      <w:r>
        <w:t xml:space="preserve">sur tous les cas de conception, puis marge minimale maximale, puis pire</w:t>
      </w:r>
      <w:r>
        <w:t xml:space="preserve"> </w:t>
      </w:r>
      <m:oMath>
        <m:r>
          <m:t>J</m:t>
        </m:r>
      </m:oMath>
      <w:r>
        <w:t xml:space="preserve"> </w:t>
      </w:r>
      <w:r>
        <w:t xml:space="preserve">à</w:t>
      </w:r>
      <w:r>
        <w:t xml:space="preserve"> </w:t>
      </w:r>
      <w:r>
        <w:t xml:space="preserve">marge égale (</w:t>
      </w:r>
      <m:oMath>
        <m:r>
          <m:rPr>
            <m:sty m:val="p"/>
          </m:rPr>
          <m:t>&lt;</m:t>
        </m:r>
        <m:sSup>
          <m:e>
            <m:r>
              <m:t>10</m:t>
            </m:r>
          </m:e>
          <m:sup>
            <m:r>
              <m:rPr>
                <m:sty m:val="p"/>
              </m:rPr>
              <m:t>−</m:t>
            </m:r>
            <m:r>
              <m:t>4</m:t>
            </m:r>
          </m:sup>
        </m:sSup>
      </m:oMath>
      <w:r>
        <w:t xml:space="preserve">).</w:t>
      </w:r>
    </w:p>
    <w:bookmarkEnd w:id="33"/>
    <w:bookmarkStart w:id="34" w:name="étages."/>
    <w:p>
      <w:pPr>
        <w:pStyle w:val="Heading4"/>
      </w:pPr>
      <w:r>
        <w:t xml:space="preserve">Étages.</w:t>
      </w:r>
    </w:p>
    <w:p>
      <w:pPr>
        <w:pStyle w:val="FirstParagraph"/>
      </w:pPr>
      <w:r>
        <w:t xml:space="preserve">L’étage 1 cherche la faisabilité nominale sur un seul scénario, avec</w:t>
      </w:r>
      <w:r>
        <w:t xml:space="preserve"> </w:t>
      </w:r>
      <w:r>
        <w:t xml:space="preserve">700 appels ; une graine qui produit moins de</w:t>
      </w:r>
      <w:r>
        <w:t xml:space="preserve"> </w:t>
      </w:r>
      <w:r>
        <w:t xml:space="preserve">20 points faisables distincts est déclarée</w:t>
      </w:r>
      <w:r>
        <w:t xml:space="preserve"> </w:t>
      </w:r>
      <w:r>
        <w:rPr>
          <w:iCs/>
          <w:i/>
        </w:rPr>
        <w:t xml:space="preserve">stérile</w:t>
      </w:r>
      <w:r>
        <w:t xml:space="preserve"> </w:t>
      </w:r>
      <w:r>
        <w:t xml:space="preserve">et rapportée comme telle. L’étage 2 cherche la robustesse sur</w:t>
      </w:r>
      <w:r>
        <w:t xml:space="preserve"> </w:t>
      </w:r>
      <w:r>
        <w:t xml:space="preserve">le jeu de conception avec 300 appels, amorcé uniquement sur</w:t>
      </w:r>
      <w:r>
        <w:t xml:space="preserve"> </w:t>
      </w:r>
      <w:r>
        <w:t xml:space="preserve">les points faisables de l’étage 1 de la</w:t>
      </w:r>
      <w:r>
        <w:t xml:space="preserve"> </w:t>
      </w:r>
      <w:r>
        <w:rPr>
          <w:iCs/>
          <w:i/>
        </w:rPr>
        <w:t xml:space="preserve">même</w:t>
      </w:r>
      <w:r>
        <w:t xml:space="preserve"> </w:t>
      </w:r>
      <w:r>
        <w:t xml:space="preserve">graine. L’étage 3 rejoue</w:t>
      </w:r>
      <w:r>
        <w:t xml:space="preserve"> </w:t>
      </w:r>
      <w:r>
        <w:t xml:space="preserve">tout candidat retenu au pas de</w:t>
      </w:r>
      <w:r>
        <w:t xml:space="preserve"> </w:t>
      </w:r>
      <m:oMath>
        <m:r>
          <m:t>0</m:t>
        </m:r>
        <m:r>
          <m:rPr>
            <m:sty m:val="p"/>
          </m:rPr>
          <m:t>,</m:t>
        </m:r>
        <m:r>
          <m:t>2</m:t>
        </m:r>
        <m:r>
          <m:t> </m:t>
        </m:r>
        <m:r>
          <m:t>μ</m:t>
        </m:r>
      </m:oMath>
      <w:r>
        <w:t xml:space="preserve">s : aucun candidat n’est déclaré</w:t>
      </w:r>
      <w:r>
        <w:t xml:space="preserve"> </w:t>
      </w:r>
      <w:r>
        <w:t xml:space="preserve">faisable sans ce rejeu.</w:t>
      </w:r>
    </w:p>
    <w:bookmarkEnd w:id="34"/>
    <w:bookmarkEnd w:id="35"/>
    <w:bookmarkStart w:id="39" w:name="sec:validation"/>
    <w:p>
      <w:pPr>
        <w:pStyle w:val="Heading2"/>
      </w:pPr>
      <w:r>
        <w:t xml:space="preserve">Protocole de validation</w:t>
      </w:r>
    </w:p>
    <w:bookmarkStart w:id="36" w:name="ensemble-dincertitude-choix-déclaré."/>
    <w:p>
      <w:pPr>
        <w:pStyle w:val="Heading4"/>
      </w:pPr>
      <w:r>
        <w:t xml:space="preserve">Ensemble d’incertitude (choix déclaré).</w:t>
      </w:r>
    </w:p>
    <w:p>
      <w:pPr>
        <w:pStyle w:val="FirstParagraph"/>
      </w:pPr>
      <w:r>
        <w:t xml:space="preserve">Le cadrage évoque dix-sept cas robustes et seize coins sans les définir. Nous</w:t>
      </w:r>
      <w:r>
        <w:t xml:space="preserve"> </w:t>
      </w:r>
      <w:r>
        <w:t xml:space="preserve">retenons</w:t>
      </w:r>
      <w:r>
        <w:t xml:space="preserve"> </w:t>
      </w:r>
      <m:oMath>
        <m:r>
          <m:t>L</m:t>
        </m:r>
      </m:oMath>
      <w:r>
        <w:t xml:space="preserve">,</w:t>
      </w:r>
      <w:r>
        <w:t xml:space="preserve"> </w:t>
      </w:r>
      <m:oMath>
        <m:r>
          <m:t>C</m:t>
        </m:r>
      </m:oMath>
      <w:r>
        <w:t xml:space="preserve"> </w:t>
      </w:r>
      <w:r>
        <w:t xml:space="preserve">et</w:t>
      </w:r>
      <w:r>
        <w:t xml:space="preserve"> </w:t>
      </w:r>
      <m:oMath>
        <m:r>
          <m:t>R</m:t>
        </m:r>
      </m:oMath>
      <w:r>
        <w:t xml:space="preserve"> </w:t>
      </w:r>
      <w:r>
        <w:t xml:space="preserve">à</w:t>
      </w:r>
      <w:r>
        <w:t xml:space="preserve"> </w:t>
      </w:r>
      <m:oMath>
        <m:r>
          <m:rPr>
            <m:sty m:val="p"/>
          </m:rPr>
          <m:t>±</m:t>
        </m:r>
        <m:r>
          <m:t>20</m:t>
        </m:r>
        <m:r>
          <m:t> </m:t>
        </m:r>
        <m:r>
          <m:rPr>
            <m:sty m:val="p"/>
          </m:rPr>
          <m:t>%</m:t>
        </m:r>
      </m:oMath>
      <w:r>
        <w:t xml:space="preserve"> </w:t>
      </w:r>
      <w:r>
        <w:t xml:space="preserve">et</w:t>
      </w:r>
      <w:r>
        <w:t xml:space="preserve"> </w:t>
      </w:r>
      <m:oMath>
        <m:sSub>
          <m:e>
            <m:r>
              <m:t>r</m:t>
            </m:r>
          </m:e>
          <m:sub>
            <m:r>
              <m:t>C</m:t>
            </m:r>
          </m:sub>
        </m:sSub>
      </m:oMath>
      <w:r>
        <w:t xml:space="preserve"> </w:t>
      </w:r>
      <w:r>
        <w:t xml:space="preserve">à</w:t>
      </w:r>
      <w:r>
        <w:t xml:space="preserve"> </w:t>
      </w:r>
      <m:oMath>
        <m:r>
          <m:rPr>
            <m:sty m:val="p"/>
          </m:rPr>
          <m:t>±</m:t>
        </m:r>
        <m:r>
          <m:t>50</m:t>
        </m:r>
        <m:r>
          <m:t> </m:t>
        </m:r>
        <m:r>
          <m:rPr>
            <m:sty m:val="p"/>
          </m:rPr>
          <m:t>%</m:t>
        </m:r>
      </m:oMath>
      <w:r>
        <w:t xml:space="preserve">, soit</w:t>
      </w:r>
      <w:r>
        <w:t xml:space="preserve"> </w:t>
      </w:r>
      <m:oMath>
        <m:sSup>
          <m:e>
            <m:r>
              <m:t>2</m:t>
            </m:r>
          </m:e>
          <m:sup>
            <m:r>
              <m:t>4</m:t>
            </m:r>
          </m:sup>
        </m:sSup>
        <m:r>
          <m:rPr>
            <m:sty m:val="p"/>
          </m:rPr>
          <m:t>=</m:t>
        </m:r>
        <m:r>
          <m:t>16</m:t>
        </m:r>
      </m:oMath>
      <w:r>
        <w:t xml:space="preserve"> </w:t>
      </w:r>
      <w:r>
        <w:t xml:space="preserve">coins plus le nominal.</w:t>
      </w:r>
      <w:r>
        <w:t xml:space="preserve"> </w:t>
      </w:r>
      <m:oMath>
        <m:sSub>
          <m:e>
            <m:r>
              <m:t>r</m:t>
            </m:r>
          </m:e>
          <m:sub>
            <m:r>
              <m:t>C</m:t>
            </m:r>
          </m:sub>
        </m:sSub>
      </m:oMath>
      <w:r>
        <w:t xml:space="preserve"> </w:t>
      </w:r>
      <w:r>
        <w:t xml:space="preserve">est choisi parce qu’il fixe à lui seul le pôle</w:t>
      </w:r>
      <w:r>
        <w:t xml:space="preserve"> </w:t>
      </w:r>
      <w:r>
        <w:t xml:space="preserve">projeté</w:t>
      </w:r>
      <w:r>
        <w:t xml:space="preserve"> </w:t>
      </w:r>
      <m:oMath>
        <m:sSub>
          <m:e>
            <m:r>
              <m:t>ω</m:t>
            </m:r>
          </m:e>
          <m:sub>
            <m:r>
              <m:t>f</m:t>
            </m:r>
          </m:sub>
        </m:sSub>
        <m:r>
          <m:rPr>
            <m:sty m:val="p"/>
          </m:rPr>
          <m:t>=</m:t>
        </m:r>
        <m:r>
          <m:t>1</m:t>
        </m:r>
        <m:r>
          <m:rPr>
            <m:sty m:val="p"/>
          </m:rPr>
          <m:t>/</m:t>
        </m:r>
        <m:d>
          <m:dPr>
            <m:begChr m:val="("/>
            <m:endChr m:val=")"/>
            <m:sepChr m:val=""/>
            <m:grow/>
          </m:dPr>
          <m:e>
            <m:sSub>
              <m:e>
                <m:r>
                  <m:t>r</m:t>
                </m:r>
              </m:e>
              <m:sub>
                <m:r>
                  <m:t>C</m:t>
                </m:r>
              </m:sub>
            </m:sSub>
            <m:r>
              <m:t>C</m:t>
            </m:r>
          </m:e>
        </m:d>
      </m:oMath>
      <w:r>
        <w:t xml:space="preserve">, donc l’erreur de projection.</w:t>
      </w:r>
      <w:r>
        <w:t xml:space="preserve"> </w:t>
      </w:r>
      <m:oMath>
        <m:sSub>
          <m:e>
            <m:r>
              <m:t>V</m:t>
            </m:r>
          </m:e>
          <m:sub>
            <m:r>
              <m:rPr>
                <m:sty m:val="p"/>
              </m:rPr>
              <m:t>i</m:t>
            </m:r>
            <m:r>
              <m:rPr>
                <m:sty m:val="p"/>
              </m:rPr>
              <m:t>n</m:t>
            </m:r>
          </m:sub>
        </m:sSub>
      </m:oMath>
      <w:r>
        <w:t xml:space="preserve"> </w:t>
      </w:r>
      <w:r>
        <w:t xml:space="preserve">reste</w:t>
      </w:r>
      <w:r>
        <w:t xml:space="preserve"> </w:t>
      </w:r>
      <w:r>
        <w:t xml:space="preserve">fixe et la mission n’est jamais modifiée.</w:t>
      </w:r>
    </w:p>
    <w:bookmarkEnd w:id="36"/>
    <w:bookmarkStart w:id="37" w:name="trois-jeux-disjoints."/>
    <w:p>
      <w:pPr>
        <w:pStyle w:val="Heading4"/>
      </w:pPr>
      <w:r>
        <w:t xml:space="preserve">Trois jeux disjoints.</w:t>
      </w:r>
    </w:p>
    <w:p>
      <w:pPr>
        <w:pStyle w:val="FirstParagraph"/>
      </w:pPr>
      <w:r>
        <w:t xml:space="preserve">Les seize coins sont partagés entre conception et validation par tirage au</w:t>
      </w:r>
      <w:r>
        <w:t xml:space="preserve"> </w:t>
      </w:r>
      <w:r>
        <w:t xml:space="preserve">sort (graine publiée 2026092401), jamais après avoir observé quels</w:t>
      </w:r>
      <w:r>
        <w:t xml:space="preserve"> </w:t>
      </w:r>
      <w:r>
        <w:t xml:space="preserve">cas échouent. Le jeu de test est formé de tirages uniformes dans</w:t>
      </w:r>
      <w:r>
        <w:t xml:space="preserve"> </w:t>
      </w:r>
      <w:r>
        <w:t xml:space="preserve">l’hypercube, graine 2026092402 scellée dans le protocole avant toute</w:t>
      </w:r>
      <w:r>
        <w:t xml:space="preserve"> </w:t>
      </w:r>
      <w:r>
        <w:t xml:space="preserve">évaluation, et joué une seule fois ; un fichier sentinelle interdit de le</w:t>
      </w:r>
      <w:r>
        <w:t xml:space="preserve"> </w:t>
      </w:r>
      <w:r>
        <w:t xml:space="preserve">rejouer. Un jeu consulté pour décider redevient un jeu de conception et perd</w:t>
      </w:r>
      <w:r>
        <w:t xml:space="preserve"> </w:t>
      </w:r>
      <w:r>
        <w:t xml:space="preserve">toute valeur probante.</w:t>
      </w:r>
    </w:p>
    <w:bookmarkEnd w:id="37"/>
    <w:bookmarkStart w:id="38" w:name="taille-du-test."/>
    <w:p>
      <w:pPr>
        <w:pStyle w:val="Heading4"/>
      </w:pPr>
      <w:r>
        <w:t xml:space="preserve">Taille du test.</w:t>
      </w:r>
    </w:p>
    <w:p>
      <w:pPr>
        <w:pStyle w:val="FirstParagraph"/>
      </w:pPr>
      <w:r>
        <w:t xml:space="preserve">Un succès sur</w:t>
      </w:r>
      <w:r>
        <w:t xml:space="preserve"> </w:t>
      </w:r>
      <m:oMath>
        <m:r>
          <m:t>n</m:t>
        </m:r>
      </m:oMath>
      <w:r>
        <w:t xml:space="preserve"> </w:t>
      </w:r>
      <w:r>
        <w:t xml:space="preserve">tirages sans échec ne certifie rien au-delà de l’intervalle</w:t>
      </w:r>
      <w:r>
        <w:t xml:space="preserve"> </w:t>
      </w:r>
      <w:r>
        <w:t xml:space="preserve">de Wilson à</w:t>
      </w:r>
      <w:r>
        <w:t xml:space="preserve"> </w:t>
      </w:r>
      <m:oMath>
        <m:r>
          <m:t>95</m:t>
        </m:r>
        <m:r>
          <m:t> </m:t>
        </m:r>
        <m:r>
          <m:rPr>
            <m:sty m:val="p"/>
          </m:rPr>
          <m:t>%</m:t>
        </m:r>
      </m:oMath>
      <w:r>
        <w:t xml:space="preserve">. Avec</w:t>
      </w:r>
      <w:r>
        <w:t xml:space="preserve"> </w:t>
      </w:r>
      <m:oMath>
        <m:r>
          <m:t>50</m:t>
        </m:r>
        <m:r>
          <m:rPr>
            <m:sty m:val="p"/>
          </m:rPr>
          <m:t>/</m:t>
        </m:r>
        <m:r>
          <m:t>50</m:t>
        </m:r>
      </m:oMath>
      <w:r>
        <w:t xml:space="preserve">, la borne basse vaut</w:t>
      </w:r>
      <w:r>
        <w:t xml:space="preserve"> </w:t>
      </w:r>
      <m:oMath>
        <m:r>
          <m:t>92</m:t>
        </m:r>
        <m:r>
          <m:rPr>
            <m:sty m:val="p"/>
          </m:rPr>
          <m:t>,</m:t>
        </m:r>
        <m:r>
          <m:t>9</m:t>
        </m:r>
        <m:r>
          <m:t> </m:t>
        </m:r>
        <m:r>
          <m:rPr>
            <m:sty m:val="p"/>
          </m:rPr>
          <m:t>%</m:t>
        </m:r>
      </m:oMath>
      <w:r>
        <w:t xml:space="preserve">. Le cadrage</w:t>
      </w:r>
      <w:r>
        <w:t xml:space="preserve"> </w:t>
      </w:r>
      <w:r>
        <w:t xml:space="preserve">indiquait qu’« environ 300 » tirages suffisent pour une borne basse de</w:t>
      </w:r>
      <w:r>
        <w:t xml:space="preserve"> </w:t>
      </w:r>
      <m:oMath>
        <m:r>
          <m:t>99</m:t>
        </m:r>
        <m:r>
          <m:t> </m:t>
        </m:r>
        <m:r>
          <m:rPr>
            <m:sty m:val="p"/>
          </m:rPr>
          <m:t>%</m:t>
        </m:r>
      </m:oMath>
      <w:r>
        <w:t xml:space="preserve"> </w:t>
      </w:r>
      <w:r>
        <w:t xml:space="preserve">; le calcul exact donne</w:t>
      </w:r>
      <w:r>
        <w:t xml:space="preserve"> </w:t>
      </w:r>
      <m:oMath>
        <m:r>
          <m:t>98</m:t>
        </m:r>
        <m:r>
          <m:rPr>
            <m:sty m:val="p"/>
          </m:rPr>
          <m:t>,</m:t>
        </m:r>
        <m:r>
          <m:t>74</m:t>
        </m:r>
        <m:r>
          <m:t> </m:t>
        </m:r>
        <m:r>
          <m:rPr>
            <m:sty m:val="p"/>
          </m:rPr>
          <m:t>%</m:t>
        </m:r>
      </m:oMath>
      <w:r>
        <w:t xml:space="preserve"> </w:t>
      </w:r>
      <w:r>
        <w:t xml:space="preserve">pour</w:t>
      </w:r>
      <w:r>
        <w:t xml:space="preserve"> </w:t>
      </w:r>
      <m:oMath>
        <m:r>
          <m:t>300</m:t>
        </m:r>
        <m:r>
          <m:rPr>
            <m:sty m:val="p"/>
          </m:rPr>
          <m:t>/</m:t>
        </m:r>
        <m:r>
          <m:t>300</m:t>
        </m:r>
      </m:oMath>
      <w:r>
        <w:t xml:space="preserve"> </w:t>
      </w:r>
      <w:r>
        <w:t xml:space="preserve">et exige</w:t>
      </w:r>
      <w:r>
        <w:t xml:space="preserve"> </w:t>
      </w:r>
      <m:oMath>
        <m:r>
          <m:t>381</m:t>
        </m:r>
      </m:oMath>
      <w:r>
        <w:t xml:space="preserve"> </w:t>
      </w:r>
      <w:r>
        <w:t xml:space="preserve">tirages. Nous en retenons 400.</w:t>
      </w:r>
    </w:p>
    <w:bookmarkEnd w:id="38"/>
    <w:bookmarkEnd w:id="39"/>
    <w:bookmarkStart w:id="40" w:name="sec:stats"/>
    <w:p>
      <w:pPr>
        <w:pStyle w:val="Heading2"/>
      </w:pPr>
      <w:r>
        <w:t xml:space="preserve">Statistiques prédéclarées</w:t>
      </w:r>
    </w:p>
    <w:p>
      <w:pPr>
        <w:pStyle w:val="FirstParagraph"/>
      </w:pPr>
      <w:r>
        <w:t xml:space="preserve">L’unité statistique est la graine : trente graines communes, méthodes</w:t>
      </w:r>
      <w:r>
        <w:t xml:space="preserve"> </w:t>
      </w:r>
      <w:r>
        <w:t xml:space="preserve">appariées. Nous appliquons le test omnibus de Friedman (avec la correction</w:t>
      </w:r>
      <w:r>
        <w:t xml:space="preserve"> </w:t>
      </w:r>
      <w:r>
        <w:t xml:space="preserve">d’Iman–Davenport), puis des tests de Wilcoxon signés appariés par paires,</w:t>
      </w:r>
      <w:r>
        <w:t xml:space="preserve"> </w:t>
      </w:r>
      <w:r>
        <w:t xml:space="preserve">corrigés par la méthode de Holm, et nous rapportons la corrélation</w:t>
      </w:r>
      <w:r>
        <w:t xml:space="preserve"> </w:t>
      </w:r>
      <w:r>
        <w:t xml:space="preserve">rang-bisériale appariée comme taille d’effet. Les proportions de réussite sont</w:t>
      </w:r>
      <w:r>
        <w:t xml:space="preserve"> </w:t>
      </w:r>
      <w:r>
        <w:t xml:space="preserve">accompagnées de leur intervalle de Wilson à</w:t>
      </w:r>
      <w:r>
        <w:t xml:space="preserve"> </w:t>
      </w:r>
      <m:oMath>
        <m:r>
          <m:t>95</m:t>
        </m:r>
        <m:r>
          <m:t> </m:t>
        </m:r>
        <m:r>
          <m:rPr>
            <m:sty m:val="p"/>
          </m:rPr>
          <m:t>%</m:t>
        </m:r>
      </m:oMath>
      <w:r>
        <w:t xml:space="preserve">. Toutes les graines sont</w:t>
      </w:r>
      <w:r>
        <w:t xml:space="preserve"> </w:t>
      </w:r>
      <w:r>
        <w:t xml:space="preserve">rapportées, stériles comprises ; aucun seuil n’est ajusté après observation.</w:t>
      </w:r>
    </w:p>
    <w:bookmarkEnd w:id="40"/>
    <w:bookmarkEnd w:id="41"/>
    <w:bookmarkStart w:id="65" w:name="sec:resultats"/>
    <w:p>
      <w:pPr>
        <w:pStyle w:val="Heading1"/>
      </w:pPr>
      <w:r>
        <w:t xml:space="preserve">Résultats</w:t>
      </w:r>
    </w:p>
    <w:bookmarkStart w:id="45" w:name="audit-de-saturation"/>
    <w:p>
      <w:pPr>
        <w:pStyle w:val="Heading2"/>
      </w:pPr>
      <w:r>
        <w:t xml:space="preserve">Audit de saturation</w:t>
      </w:r>
    </w:p>
    <w:p>
      <w:pPr>
        <w:pStyle w:val="FirstParagraph"/>
      </w:pPr>
      <w:r>
        <w:t xml:space="preserve">La figure </w:t>
      </w:r>
      <w:hyperlink w:anchor="fig:audit">
        <w:r>
          <w:rPr>
            <w:rStyle w:val="Hyperlink"/>
          </w:rPr>
          <w:t xml:space="preserve">1</w:t>
        </w:r>
      </w:hyperlink>
      <w:r>
        <w:t xml:space="preserve"> </w:t>
      </w:r>
      <w:r>
        <w:t xml:space="preserve">résume l’audit. Sur 4096 tirages Sobol</w:t>
      </w:r>
      <w:r>
        <w:t xml:space="preserve"> </w:t>
      </w:r>
      <w:r>
        <w:t xml:space="preserve">de la boîte v5,</w:t>
      </w:r>
      <w:r>
        <w:t xml:space="preserve"> </w:t>
      </w:r>
      <m:oMath>
        <m:sSub>
          <m:e>
            <m:r>
              <m:rPr>
                <m:sty m:val="p"/>
              </m:rPr>
              <m:t>log</m:t>
            </m:r>
          </m:e>
          <m:sub>
            <m:r>
              <m:t>10</m:t>
            </m:r>
          </m:sub>
        </m:sSub>
        <m:sSub>
          <m:e>
            <m:r>
              <m:t>k</m:t>
            </m:r>
          </m:e>
          <m:sub>
            <m:r>
              <m:t>p</m:t>
            </m:r>
          </m:sub>
        </m:sSub>
      </m:oMath>
      <w:r>
        <w:t xml:space="preserve"> </w:t>
      </w:r>
      <w:r>
        <w:t xml:space="preserve">reste dans</w:t>
      </w:r>
      <w:r>
        <w:t xml:space="preserve"> </w:t>
      </w:r>
      <m:oMath>
        <m:r>
          <m:rPr>
            <m:sty m:val="p"/>
          </m:rPr>
          <m:t>[</m:t>
        </m:r>
      </m:oMath>
      <w:r>
        <w:t xml:space="preserve">-0</w:t>
      </w:r>
      <w:r>
        <w:t xml:space="preserve">,</w:t>
      </w:r>
      <w:r>
        <w:t xml:space="preserve">64</w:t>
      </w:r>
      <m:oMath>
        <m:r>
          <m:rPr>
            <m:sty m:val="p"/>
          </m:rPr>
          <m:t>;</m:t>
        </m:r>
      </m:oMath>
      <w:r>
        <w:t xml:space="preserve">0</w:t>
      </w:r>
      <w:r>
        <w:t xml:space="preserve">,</w:t>
      </w:r>
      <w:r>
        <w:t xml:space="preserve">96</w:t>
      </w:r>
      <m:oMath>
        <m:r>
          <m:rPr>
            <m:sty m:val="p"/>
          </m:rPr>
          <m:t>]</m:t>
        </m:r>
      </m:oMath>
      <w:r>
        <w:t xml:space="preserve"> </w:t>
      </w:r>
      <w:r>
        <w:t xml:space="preserve">(5</w:t>
      </w:r>
      <w:r>
        <w:rPr>
          <w:vertAlign w:val="superscript"/>
        </w:rPr>
        <w:t xml:space="preserve">e</w:t>
      </w:r>
      <w:r>
        <w:t xml:space="preserve"> </w:t>
      </w:r>
      <w:r>
        <w:t xml:space="preserve">et 95</w:t>
      </w:r>
      <w:r>
        <w:rPr>
          <w:vertAlign w:val="superscript"/>
        </w:rPr>
        <w:t xml:space="preserve">e</w:t>
      </w:r>
      <w:r>
        <w:t xml:space="preserve"> </w:t>
      </w:r>
      <w:r>
        <w:t xml:space="preserve">centiles, médiane</w:t>
      </w:r>
      <w:r>
        <w:t xml:space="preserve"> </w:t>
      </w:r>
      <m:oMath>
        <m:r>
          <m:t>0</m:t>
        </m:r>
        <m:r>
          <m:rPr>
            <m:sty m:val="p"/>
          </m:rPr>
          <m:t>,</m:t>
        </m:r>
        <m:r>
          <m:t>44</m:t>
        </m:r>
      </m:oMath>
      <w:r>
        <w:t xml:space="preserve">) et touche sa borne basse dans</w:t>
      </w:r>
      <w:r>
        <w:t xml:space="preserve"> </w:t>
      </w:r>
      <m:oMath>
        <m:r>
          <m:t>0</m:t>
        </m:r>
        <m:r>
          <m:rPr>
            <m:sty m:val="p"/>
          </m:rPr>
          <m:t>,</m:t>
        </m:r>
        <m:r>
          <m:t>0</m:t>
        </m:r>
        <m:r>
          <m:t> </m:t>
        </m:r>
        <m:r>
          <m:rPr>
            <m:sty m:val="p"/>
          </m:rPr>
          <m:t>%</m:t>
        </m:r>
      </m:oMath>
      <w:r>
        <w:t xml:space="preserve"> </w:t>
      </w:r>
      <w:r>
        <w:t xml:space="preserve">des cas. La</w:t>
      </w:r>
      <w:r>
        <w:t xml:space="preserve"> </w:t>
      </w:r>
      <w:r>
        <w:t xml:space="preserve">saturation de</w:t>
      </w:r>
      <w:r>
        <w:t xml:space="preserve"> </w:t>
      </w:r>
      <m:oMath>
        <m:r>
          <m:t>79</m:t>
        </m:r>
        <m:r>
          <m:t> </m:t>
        </m:r>
        <m:r>
          <m:rPr>
            <m:sty m:val="p"/>
          </m:rPr>
          <m:t>%</m:t>
        </m:r>
      </m:oMath>
      <w:r>
        <w:t xml:space="preserve"> </w:t>
      </w:r>
      <w:r>
        <w:t xml:space="preserve">rapportée par la campagne antérieure exigerait</w:t>
      </w:r>
      <w:r>
        <w:t xml:space="preserve"> </w:t>
      </w:r>
      <m:oMath>
        <m:sSub>
          <m:e>
            <m:r>
              <m:t>k</m:t>
            </m:r>
          </m:e>
          <m:sub>
            <m:r>
              <m:t>p</m:t>
            </m:r>
          </m:sub>
        </m:sSub>
        <m:r>
          <m:rPr>
            <m:sty m:val="p"/>
          </m:rPr>
          <m:t>&lt;</m:t>
        </m:r>
        <m:sSup>
          <m:e>
            <m:r>
              <m:t>10</m:t>
            </m:r>
          </m:e>
          <m:sup>
            <m:r>
              <m:rPr>
                <m:sty m:val="p"/>
              </m:rPr>
              <m:t>−</m:t>
            </m:r>
            <m:r>
              <m:t>4</m:t>
            </m:r>
          </m:sup>
        </m:sSup>
      </m:oMath>
      <w:r>
        <w:t xml:space="preserve">, soit quatre ordres de grandeur sous ce que produit la</w:t>
      </w:r>
      <w:r>
        <w:t xml:space="preserve"> </w:t>
      </w:r>
      <w:r>
        <w:t xml:space="preserve">projection. Elle signale donc un défaut</w:t>
      </w:r>
      <w:r>
        <w:t xml:space="preserve"> </w:t>
      </w:r>
      <w:r>
        <w:rPr>
          <w:iCs/>
          <w:i/>
        </w:rPr>
        <w:t xml:space="preserve">en amont</w:t>
      </w:r>
      <w:r>
        <w:t xml:space="preserve"> </w:t>
      </w:r>
      <w:r>
        <w:t xml:space="preserve">de l’écrêtage, et non</w:t>
      </w:r>
      <w:r>
        <w:t xml:space="preserve"> </w:t>
      </w:r>
      <w:r>
        <w:t xml:space="preserve">une borne trop serrée.</w:t>
      </w:r>
    </w:p>
    <w:p>
      <w:pPr>
        <w:pStyle w:val="BodyText"/>
      </w:pPr>
      <w:r>
        <w:t xml:space="preserve">Deux composantes saturent à</w:t>
      </w:r>
      <w:r>
        <w:t xml:space="preserve"> </w:t>
      </w:r>
      <m:oMath>
        <m:r>
          <m:t>100</m:t>
        </m:r>
        <m:r>
          <m:t> </m:t>
        </m:r>
        <m:r>
          <m:rPr>
            <m:sty m:val="p"/>
          </m:rPr>
          <m:t>%</m:t>
        </m:r>
      </m:oMath>
      <w:r>
        <w:t xml:space="preserve"> </w:t>
      </w:r>
      <w:r>
        <w:t xml:space="preserve">:</w:t>
      </w:r>
      <w:r>
        <w:t xml:space="preserve"> </w:t>
      </w:r>
      <m:oMath>
        <m:sSub>
          <m:e>
            <m:r>
              <m:rPr>
                <m:sty m:val="p"/>
              </m:rPr>
              <m:t>log</m:t>
            </m:r>
          </m:e>
          <m:sub>
            <m:r>
              <m:t>10</m:t>
            </m:r>
          </m:sub>
        </m:sSub>
        <m:sSub>
          <m:e>
            <m:r>
              <m:t>ω</m:t>
            </m:r>
          </m:e>
          <m:sub>
            <m:r>
              <m:t>f</m:t>
            </m:r>
          </m:sub>
        </m:sSub>
      </m:oMath>
      <w:r>
        <w:t xml:space="preserve"> </w:t>
      </w:r>
      <w:r>
        <w:t xml:space="preserve">et</w:t>
      </w:r>
      <w:r>
        <w:t xml:space="preserve"> </w:t>
      </w:r>
      <m:oMath>
        <m:r>
          <m:t>b</m:t>
        </m:r>
      </m:oMath>
      <w:r>
        <w:t xml:space="preserve">. Toutes</w:t>
      </w:r>
      <w:r>
        <w:t xml:space="preserve"> </w:t>
      </w:r>
      <w:r>
        <w:t xml:space="preserve">deux sont</w:t>
      </w:r>
      <w:r>
        <w:t xml:space="preserve"> </w:t>
      </w:r>
      <w:r>
        <w:rPr>
          <w:iCs/>
          <w:i/>
        </w:rPr>
        <w:t xml:space="preserve">constantes</w:t>
      </w:r>
      <w:r>
        <w:t xml:space="preserve"> </w:t>
      </w:r>
      <w:r>
        <w:t xml:space="preserve">de la synthèse (</w:t>
      </w:r>
      <m:oMath>
        <m:sSub>
          <m:e>
            <m:r>
              <m:t>ω</m:t>
            </m:r>
          </m:e>
          <m:sub>
            <m:r>
              <m:t>f</m:t>
            </m:r>
          </m:sub>
        </m:sSub>
        <m:r>
          <m:rPr>
            <m:sty m:val="p"/>
          </m:rPr>
          <m:t>=</m:t>
        </m:r>
        <m:r>
          <m:t>1</m:t>
        </m:r>
        <m:r>
          <m:rPr>
            <m:sty m:val="p"/>
          </m:rPr>
          <m:t>/</m:t>
        </m:r>
        <m:d>
          <m:dPr>
            <m:begChr m:val="("/>
            <m:endChr m:val=")"/>
            <m:sepChr m:val=""/>
            <m:grow/>
          </m:dPr>
          <m:e>
            <m:sSub>
              <m:e>
                <m:r>
                  <m:t>r</m:t>
                </m:r>
              </m:e>
              <m:sub>
                <m:r>
                  <m:t>C</m:t>
                </m:r>
              </m:sub>
            </m:sSub>
            <m:r>
              <m:t>C</m:t>
            </m:r>
          </m:e>
        </m:d>
      </m:oMath>
      <w:r>
        <w:t xml:space="preserve"> </w:t>
      </w:r>
      <w:r>
        <w:t xml:space="preserve">et</w:t>
      </w:r>
      <w:r>
        <w:t xml:space="preserve"> </w:t>
      </w:r>
      <m:oMath>
        <m:r>
          <m:t>b</m:t>
        </m:r>
        <m:r>
          <m:rPr>
            <m:sty m:val="p"/>
          </m:rPr>
          <m:t>=</m:t>
        </m:r>
        <m:r>
          <m:t>1</m:t>
        </m:r>
      </m:oMath>
      <w:r>
        <w:t xml:space="preserve"> </w:t>
      </w:r>
      <w:r>
        <w:t xml:space="preserve">par</w:t>
      </w:r>
      <w:r>
        <w:t xml:space="preserve"> </w:t>
      </w:r>
      <w:r>
        <w:t xml:space="preserve">la relation </w:t>
      </w:r>
      <w:hyperlink w:anchor="eq:projection">
        <w:r>
          <w:rPr>
            <w:rStyle w:val="Hyperlink"/>
          </w:rPr>
          <w:t xml:space="preserve">[eq:projection]</w:t>
        </w:r>
      </w:hyperlink>
      <w:r>
        <w:t xml:space="preserve">) : la saturation est structurelle et ne</w:t>
      </w:r>
      <w:r>
        <w:t xml:space="preserve"> </w:t>
      </w:r>
      <w:r>
        <w:t xml:space="preserve">retire aucun degré de liberté. Le vecteur FO-PIDF issu de la synthèse n’a</w:t>
      </w:r>
      <w:r>
        <w:t xml:space="preserve"> </w:t>
      </w:r>
      <w:r>
        <w:t xml:space="preserve">donc que cinq degrés de liberté effectifs, et non sept.</w:t>
      </w:r>
    </w:p>
    <w:p>
      <w:pPr>
        <w:pStyle w:val="CaptionedFigure"/>
      </w:pPr>
      <w:r>
        <w:drawing>
          <wp:inline>
            <wp:extent cx="5334000" cy="2538098"/>
            <wp:effectExtent b="0" l="0" r="0" t="0"/>
            <wp:docPr descr="" title="" id="43" name="Picture"/>
            <a:graphic>
              <a:graphicData uri="http://schemas.openxmlformats.org/drawingml/2006/picture">
                <pic:pic>
                  <pic:nvPicPr>
                    <pic:cNvPr descr="../../../figures/fig_audit_saturation.png" id="44" name="Picture"/>
                    <pic:cNvPicPr>
                      <a:picLocks noChangeArrowheads="1" noChangeAspect="1"/>
                    </pic:cNvPicPr>
                  </pic:nvPicPr>
                  <pic:blipFill>
                    <a:blip r:embed="rId42"/>
                    <a:stretch>
                      <a:fillRect/>
                    </a:stretch>
                  </pic:blipFill>
                  <pic:spPr bwMode="auto">
                    <a:xfrm>
                      <a:off x="0" y="0"/>
                      <a:ext cx="5334000" cy="2538098"/>
                    </a:xfrm>
                    <a:prstGeom prst="rect">
                      <a:avLst/>
                    </a:prstGeom>
                    <a:noFill/>
                    <a:ln w="9525">
                      <a:noFill/>
                      <a:headEnd/>
                      <a:tailEnd/>
                    </a:ln>
                  </pic:spPr>
                </pic:pic>
              </a:graphicData>
            </a:graphic>
          </wp:inline>
        </w:drawing>
      </w:r>
    </w:p>
    <w:p>
      <w:pPr>
        <w:pStyle w:val="ImageCaption"/>
      </w:pPr>
      <w:r>
        <w:t xml:space="preserve">Audit de saturation des bornes d’ancrage. Aucune composante variable</w:t>
      </w:r>
      <w:r>
        <w:t xml:space="preserve"> </w:t>
      </w:r>
      <w:r>
        <w:t xml:space="preserve">ne sature ; les deux saturations observées portent sur des constantes de la</w:t>
      </w:r>
      <w:r>
        <w:t xml:space="preserve"> </w:t>
      </w:r>
      <w:r>
        <w:t xml:space="preserve">synthèse.</w:t>
      </w:r>
    </w:p>
    <w:bookmarkEnd w:id="45"/>
    <w:bookmarkStart w:id="49" w:name="X71f2a55237bd78a721d6bc641631d7d389b081c"/>
    <w:p>
      <w:pPr>
        <w:pStyle w:val="Heading2"/>
      </w:pPr>
      <w:r>
        <w:t xml:space="preserve">Sonde exploratoire : la région faisable existe</w:t>
      </w:r>
    </w:p>
    <w:p>
      <w:pPr>
        <w:pStyle w:val="FirstParagraph"/>
      </w:pPr>
      <w:r>
        <w:t xml:space="preserve">Avant la campagne, une sonde exploratoire (graines 1 à 6, distinctes des</w:t>
      </w:r>
      <w:r>
        <w:t xml:space="preserve"> </w:t>
      </w:r>
      <w:r>
        <w:t xml:space="preserve">graines de campagne) a cherché conjointement sur tout</w:t>
      </w:r>
      <w:r>
        <w:t xml:space="preserve"> </w:t>
      </w:r>
      <m:oMath>
        <m:r>
          <m:t>θ</m:t>
        </m:r>
      </m:oMath>
      <w:r>
        <w:t xml:space="preserve">, à 1500 appels</w:t>
      </w:r>
      <w:r>
        <w:t xml:space="preserve"> </w:t>
      </w:r>
      <w:r>
        <w:t xml:space="preserve">par méthode. La région nominalement faisable</w:t>
      </w:r>
      <w:r>
        <w:t xml:space="preserve"> </w:t>
      </w:r>
      <w:r>
        <w:rPr>
          <w:iCs/>
          <w:i/>
        </w:rPr>
        <w:t xml:space="preserve">existe</w:t>
      </w:r>
      <w:r>
        <w:t xml:space="preserve"> </w:t>
      </w:r>
      <w:r>
        <w:t xml:space="preserve">: avec</w:t>
      </w:r>
      <w:r>
        <w:t xml:space="preserve"> </w:t>
      </w:r>
      <m:oMath>
        <m:r>
          <m:t>b</m:t>
        </m:r>
      </m:oMath>
      <w:r>
        <w:t xml:space="preserve"> </w:t>
      </w:r>
      <w:r>
        <w:t xml:space="preserve">libre,</w:t>
      </w:r>
      <w:r>
        <w:t xml:space="preserve"> </w:t>
      </w:r>
      <w:r>
        <w:t xml:space="preserve">la meilleure marge vaut</w:t>
      </w:r>
      <w:r>
        <w:t xml:space="preserve"> </w:t>
      </w:r>
      <m:oMath>
        <m:r>
          <m:t>0</m:t>
        </m:r>
        <m:r>
          <m:rPr>
            <m:sty m:val="p"/>
          </m:rPr>
          <m:t>,</m:t>
        </m:r>
        <m:r>
          <m:t>191</m:t>
        </m:r>
      </m:oMath>
      <w:r>
        <w:t xml:space="preserve"> </w:t>
      </w:r>
      <w:r>
        <w:t xml:space="preserve">après rejeu à</w:t>
      </w:r>
      <w:r>
        <w:t xml:space="preserve"> </w:t>
      </w:r>
      <m:oMath>
        <m:r>
          <m:t>0</m:t>
        </m:r>
        <m:r>
          <m:rPr>
            <m:sty m:val="p"/>
          </m:rPr>
          <m:t>,</m:t>
        </m:r>
        <m:r>
          <m:t>2</m:t>
        </m:r>
        <m:r>
          <m:t> </m:t>
        </m:r>
        <m:r>
          <m:t>μ</m:t>
        </m:r>
      </m:oMath>
      <w:r>
        <w:t xml:space="preserve">s</w:t>
      </w:r>
      <w:r>
        <w:t xml:space="preserve"> </w:t>
      </w:r>
      <w:r>
        <w:t xml:space="preserve">(3 méthodes sur 6 l’atteignent) ;</w:t>
      </w:r>
      <w:r>
        <w:t xml:space="preserve"> </w:t>
      </w:r>
      <w:r>
        <w:t xml:space="preserve">avec</w:t>
      </w:r>
      <w:r>
        <w:t xml:space="preserve"> </w:t>
      </w:r>
      <m:oMath>
        <m:r>
          <m:t>b</m:t>
        </m:r>
        <m:r>
          <m:rPr>
            <m:sty m:val="p"/>
          </m:rPr>
          <m:t>=</m:t>
        </m:r>
        <m:r>
          <m:t>1</m:t>
        </m:r>
      </m:oMath>
      <w:r>
        <w:t xml:space="preserve"> </w:t>
      </w:r>
      <w:r>
        <w:t xml:space="preserve">imposé, elle vaut encore</w:t>
      </w:r>
      <w:r>
        <w:t xml:space="preserve"> </w:t>
      </w:r>
      <m:oMath>
        <m:r>
          <m:t>0</m:t>
        </m:r>
        <m:r>
          <m:rPr>
            <m:sty m:val="p"/>
          </m:rPr>
          <m:t>,</m:t>
        </m:r>
        <m:r>
          <m:t>016</m:t>
        </m:r>
      </m:oMath>
      <w:r>
        <w:t xml:space="preserve"> </w:t>
      </w:r>
      <w:r>
        <w:t xml:space="preserve">(2 sur 6), figure </w:t>
      </w:r>
      <w:hyperlink w:anchor="fig:levierb">
        <w:r>
          <w:rPr>
            <w:rStyle w:val="Hyperlink"/>
          </w:rPr>
          <w:t xml:space="preserve">2</w:t>
        </w:r>
      </w:hyperlink>
      <w:r>
        <w:t xml:space="preserve">. Le</w:t>
      </w:r>
      <w:r>
        <w:t xml:space="preserve"> </w:t>
      </w:r>
      <w:r>
        <w:t xml:space="preserve">paramètre</w:t>
      </w:r>
      <w:r>
        <w:t xml:space="preserve"> </w:t>
      </w:r>
      <m:oMath>
        <m:r>
          <m:t>b</m:t>
        </m:r>
      </m:oMath>
      <w:r>
        <w:t xml:space="preserve"> </w:t>
      </w:r>
      <w:r>
        <w:t xml:space="preserve">est donc un levier de marge et non une barrière de faisabilité,</w:t>
      </w:r>
      <w:r>
        <w:t xml:space="preserve"> </w:t>
      </w:r>
      <w:r>
        <w:t xml:space="preserve">contrairement à l’hypothèse que nous avions d’abord formulée. En revanche, le</w:t>
      </w:r>
      <w:r>
        <w:t xml:space="preserve"> </w:t>
      </w:r>
      <w:r>
        <w:t xml:space="preserve">point faisable trouvé avec</w:t>
      </w:r>
      <w:r>
        <w:t xml:space="preserve"> </w:t>
      </w:r>
      <m:oMath>
        <m:r>
          <m:t>b</m:t>
        </m:r>
        <m:r>
          <m:rPr>
            <m:sty m:val="p"/>
          </m:rPr>
          <m:t>=</m:t>
        </m:r>
        <m:r>
          <m:t>1</m:t>
        </m:r>
      </m:oMath>
      <w:r>
        <w:t xml:space="preserve"> </w:t>
      </w:r>
      <w:r>
        <w:t xml:space="preserve">exige</w:t>
      </w:r>
      <w:r>
        <w:t xml:space="preserve"> </w:t>
      </w:r>
      <m:oMath>
        <m:sSub>
          <m:e>
            <m:r>
              <m:rPr>
                <m:sty m:val="p"/>
              </m:rPr>
              <m:t>log</m:t>
            </m:r>
          </m:e>
          <m:sub>
            <m:r>
              <m:t>10</m:t>
            </m:r>
          </m:sub>
        </m:sSub>
        <m:sSub>
          <m:e>
            <m:r>
              <m:t>k</m:t>
            </m:r>
          </m:e>
          <m:sub>
            <m:r>
              <m:t>p</m:t>
            </m:r>
          </m:sub>
        </m:sSub>
        <m:r>
          <m:rPr>
            <m:sty m:val="p"/>
          </m:rPr>
          <m:t>≈</m:t>
        </m:r>
        <m:r>
          <m:rPr>
            <m:sty m:val="p"/>
          </m:rPr>
          <m:t>−</m:t>
        </m:r>
        <m:r>
          <m:t>1</m:t>
        </m:r>
        <m:r>
          <m:rPr>
            <m:sty m:val="p"/>
          </m:rPr>
          <m:t>,</m:t>
        </m:r>
        <m:r>
          <m:t>66</m:t>
        </m:r>
      </m:oMath>
      <w:r>
        <w:t xml:space="preserve">, hors de</w:t>
      </w:r>
      <w:r>
        <w:t xml:space="preserve"> </w:t>
      </w:r>
      <w:r>
        <w:t xml:space="preserve">l’image de la boîte v5 par la synthèse ; celui trouvé avec</w:t>
      </w:r>
      <w:r>
        <w:t xml:space="preserve"> </w:t>
      </w:r>
      <m:oMath>
        <m:r>
          <m:t>b</m:t>
        </m:r>
      </m:oMath>
      <w:r>
        <w:t xml:space="preserve"> </w:t>
      </w:r>
      <w:r>
        <w:t xml:space="preserve">libre exige</w:t>
      </w:r>
      <w:r>
        <w:t xml:space="preserve"> </w:t>
      </w:r>
      <m:oMath>
        <m:r>
          <m:t>b</m:t>
        </m:r>
        <m:r>
          <m:rPr>
            <m:sty m:val="p"/>
          </m:rPr>
          <m:t>=</m:t>
        </m:r>
        <m:r>
          <m:t>0</m:t>
        </m:r>
      </m:oMath>
      <w:r>
        <w:t xml:space="preserve">, que v5 ne peut pas régler.</w:t>
      </w:r>
    </w:p>
    <w:p>
      <w:pPr>
        <w:pStyle w:val="CaptionedFigure"/>
      </w:pPr>
      <w:r>
        <w:drawing>
          <wp:inline>
            <wp:extent cx="5334000" cy="2530508"/>
            <wp:effectExtent b="0" l="0" r="0" t="0"/>
            <wp:docPr descr="" title="" id="47" name="Picture"/>
            <a:graphic>
              <a:graphicData uri="http://schemas.openxmlformats.org/drawingml/2006/picture">
                <pic:pic>
                  <pic:nvPicPr>
                    <pic:cNvPr descr="../../../figures/fig_levier_b.png" id="48" name="Picture"/>
                    <pic:cNvPicPr>
                      <a:picLocks noChangeArrowheads="1" noChangeAspect="1"/>
                    </pic:cNvPicPr>
                  </pic:nvPicPr>
                  <pic:blipFill>
                    <a:blip r:embed="rId46"/>
                    <a:stretch>
                      <a:fillRect/>
                    </a:stretch>
                  </pic:blipFill>
                  <pic:spPr bwMode="auto">
                    <a:xfrm>
                      <a:off x="0" y="0"/>
                      <a:ext cx="5334000" cy="2530508"/>
                    </a:xfrm>
                    <a:prstGeom prst="rect">
                      <a:avLst/>
                    </a:prstGeom>
                    <a:noFill/>
                    <a:ln w="9525">
                      <a:noFill/>
                      <a:headEnd/>
                      <a:tailEnd/>
                    </a:ln>
                  </pic:spPr>
                </pic:pic>
              </a:graphicData>
            </a:graphic>
          </wp:inline>
        </w:drawing>
      </w:r>
    </w:p>
    <w:p>
      <w:pPr>
        <w:pStyle w:val="ImageCaption"/>
      </w:pPr>
      <w:r>
        <w:t xml:space="preserve">Sonde exploratoire : meilleure marge nominale par méthode,</w:t>
      </w:r>
      <w:r>
        <w:t xml:space="preserve"> </w:t>
      </w:r>
      <m:oMath>
        <m:r>
          <m:t>b</m:t>
        </m:r>
      </m:oMath>
      <w:r>
        <w:t xml:space="preserve"> </w:t>
      </w:r>
      <w:r>
        <w:t xml:space="preserve">libre</w:t>
      </w:r>
      <w:r>
        <w:t xml:space="preserve"> </w:t>
      </w:r>
      <w:r>
        <w:t xml:space="preserve">contre</w:t>
      </w:r>
      <w:r>
        <w:t xml:space="preserve"> </w:t>
      </w:r>
      <m:oMath>
        <m:r>
          <m:t>b</m:t>
        </m:r>
        <m:r>
          <m:rPr>
            <m:sty m:val="p"/>
          </m:rPr>
          <m:t>=</m:t>
        </m:r>
        <m:r>
          <m:t>1</m:t>
        </m:r>
      </m:oMath>
      <w:r>
        <w:t xml:space="preserve">. Recherche conjointe sur tout</w:t>
      </w:r>
      <w:r>
        <w:t xml:space="preserve"> </w:t>
      </w:r>
      <m:oMath>
        <m:r>
          <m:t>θ</m:t>
        </m:r>
      </m:oMath>
      <w:r>
        <w:t xml:space="preserve">, 1500 appels par lancer.</w:t>
      </w:r>
    </w:p>
    <w:bookmarkEnd w:id="49"/>
    <w:bookmarkStart w:id="58" w:name="campagne-confirmatoire"/>
    <w:p>
      <w:pPr>
        <w:pStyle w:val="Heading2"/>
      </w:pPr>
      <w:r>
        <w:t xml:space="preserve">Campagne confirmatoire</w:t>
      </w:r>
    </w:p>
    <w:p>
      <w:pPr>
        <w:pStyle w:val="FirstParagraph"/>
      </w:pPr>
      <w:r>
        <w:t xml:space="preserve">Le tableau </w:t>
      </w:r>
      <w:hyperlink w:anchor="tab:bras">
        <w:r>
          <w:rPr>
            <w:rStyle w:val="Hyperlink"/>
          </w:rPr>
          <w:t xml:space="preserve">1</w:t>
        </w:r>
      </w:hyperlink>
      <w:r>
        <w:t xml:space="preserve"> </w:t>
      </w:r>
      <w:r>
        <w:t xml:space="preserve">résume les trois bras.</w:t>
      </w:r>
      <w:r>
        <w:t xml:space="preserve"> </w:t>
      </w:r>
      <w:r>
        <w:rPr>
          <w:bCs/>
          <w:b/>
        </w:rPr>
        <w:t xml:space="preserve">Aucune des</w:t>
      </w:r>
      <w:r>
        <w:rPr>
          <w:bCs/>
          <w:b/>
        </w:rPr>
        <w:t xml:space="preserve"> </w:t>
      </w:r>
      <w:r>
        <w:rPr>
          <w:bCs/>
          <w:b/>
        </w:rPr>
        <w:t xml:space="preserve">540 cellules n’est robustement faisable sur le jeu de conception</w:t>
      </w:r>
      <w:r>
        <w:t xml:space="preserve">, et</w:t>
      </w:r>
      <w:r>
        <w:t xml:space="preserve"> </w:t>
      </w:r>
      <w:r>
        <w:t xml:space="preserve">l’intervalle de Wilson par méthode et par bras est</w:t>
      </w:r>
      <w:r>
        <w:t xml:space="preserve"> </w:t>
      </w:r>
      <m:oMath>
        <m:r>
          <m:rPr>
            <m:sty m:val="p"/>
          </m:rPr>
          <m:t>[</m:t>
        </m:r>
        <m:r>
          <m:t>0</m:t>
        </m:r>
        <m:r>
          <m:rPr>
            <m:sty m:val="p"/>
          </m:rPr>
          <m:t>;</m:t>
        </m:r>
      </m:oMath>
      <w:r>
        <w:t xml:space="preserve">11</w:t>
      </w:r>
      <w:r>
        <w:t xml:space="preserve">,</w:t>
      </w:r>
      <w:r>
        <w:t xml:space="preserve">4 %</w:t>
      </w:r>
      <m:oMath>
        <m:r>
          <m:rPr>
            <m:sty m:val="p"/>
          </m:rPr>
          <m:t>]</m:t>
        </m:r>
      </m:oMath>
      <w:r>
        <w:t xml:space="preserve">.</w:t>
      </w:r>
    </w:p>
    <w:bookmarkStart w:id="50" w:name="tab:bras"/>
    <w:p>
      <w:pPr>
        <w:pStyle w:val="TableCaption"/>
      </w:pPr>
      <w:r>
        <w:t xml:space="preserve">Campagne confirmatoire, 30 graines</w:t>
      </w:r>
      <w:r>
        <w:t xml:space="preserve"> </w:t>
      </w:r>
      <m:oMath>
        <m:r>
          <m:rPr>
            <m:sty m:val="p"/>
          </m:rPr>
          <m:t>×</m:t>
        </m:r>
      </m:oMath>
      <w:r>
        <w:t xml:space="preserve"> </w:t>
      </w:r>
      <w:r>
        <w:t xml:space="preserve">6 méthodes par bras.</w:t>
      </w:r>
    </w:p>
    <w:tbl>
      <w:tblPr>
        <w:tblStyle w:val="Table"/>
        <w:tblW w:type="auto" w:w="0"/>
        <w:tblLook w:firstRow="1" w:lastRow="0" w:firstColumn="0" w:lastColumn="0" w:noHBand="0" w:noVBand="0" w:val="0020"/>
        <w:jc w:val="start"/>
        <w:tblCaption w:val="Campagne confirmatoire, 30 graines \times 6 méthodes par bras."/>
      </w:tblPr>
      <w:tblGrid>
        <w:gridCol w:w="1980"/>
        <w:gridCol w:w="1980"/>
        <w:gridCol w:w="1980"/>
        <w:gridCol w:w="1980"/>
      </w:tblGrid>
      <w:tr>
        <w:trPr>
          <w:tblHeader w:val="true"/>
        </w:trPr>
        <w:tc>
          <w:tcPr/>
          <w:p>
            <w:pPr>
              <w:pStyle w:val="Compact"/>
            </w:pPr>
          </w:p>
        </w:tc>
        <w:tc>
          <w:tcPr/>
          <w:p>
            <w:pPr>
              <w:pStyle w:val="Compact"/>
              <w:jc w:val="center"/>
            </w:pPr>
            <w:r>
              <w:t xml:space="preserve">v5 (cadrage)</w:t>
            </w:r>
          </w:p>
        </w:tc>
        <w:tc>
          <w:tcPr/>
          <w:p>
            <w:pPr>
              <w:pStyle w:val="Compact"/>
              <w:jc w:val="center"/>
            </w:pPr>
            <w:r>
              <w:t xml:space="preserve">v5b (</w:t>
            </w:r>
            <m:oMath>
              <m:r>
                <m:t>b</m:t>
              </m:r>
            </m:oMath>
            <w:r>
              <w:t xml:space="preserve"> </w:t>
            </w:r>
            <w:r>
              <w:t xml:space="preserve">libre)</w:t>
            </w:r>
          </w:p>
        </w:tc>
        <w:tc>
          <w:tcPr/>
          <w:p>
            <w:pPr>
              <w:pStyle w:val="Compact"/>
              <w:jc w:val="center"/>
            </w:pPr>
            <w:r>
              <w:t xml:space="preserve">v5kp (</w:t>
            </w:r>
            <m:oMath>
              <m:sSub>
                <m:e>
                  <m:r>
                    <m:t>k</m:t>
                  </m:r>
                </m:e>
                <m:sub>
                  <m:r>
                    <m:t>p</m:t>
                  </m:r>
                </m:sub>
              </m:sSub>
            </m:oMath>
            <w:r>
              <w:t xml:space="preserve"> </w:t>
            </w:r>
            <w:r>
              <w:t xml:space="preserve">libre)</w:t>
            </w:r>
          </w:p>
        </w:tc>
      </w:tr>
      <w:tr>
        <w:tc>
          <w:tcPr/>
          <w:p>
            <w:pPr>
              <w:pStyle w:val="Compact"/>
              <w:jc w:val="left"/>
            </w:pPr>
            <w:r>
              <w:t xml:space="preserve">cellules</w:t>
            </w:r>
          </w:p>
        </w:tc>
        <w:tc>
          <w:tcPr/>
          <w:p>
            <w:pPr>
              <w:pStyle w:val="Compact"/>
              <w:jc w:val="center"/>
            </w:pPr>
            <w:r>
              <w:t xml:space="preserve">180</w:t>
            </w:r>
          </w:p>
        </w:tc>
        <w:tc>
          <w:tcPr/>
          <w:p>
            <w:pPr>
              <w:pStyle w:val="Compact"/>
              <w:jc w:val="center"/>
            </w:pPr>
            <w:r>
              <w:t xml:space="preserve">180</w:t>
            </w:r>
          </w:p>
        </w:tc>
        <w:tc>
          <w:tcPr/>
          <w:p>
            <w:pPr>
              <w:pStyle w:val="Compact"/>
              <w:jc w:val="center"/>
            </w:pPr>
            <w:r>
              <w:t xml:space="preserve">180</w:t>
            </w:r>
          </w:p>
        </w:tc>
      </w:tr>
      <w:tr>
        <w:tc>
          <w:tcPr/>
          <w:p>
            <w:pPr>
              <w:pStyle w:val="Compact"/>
              <w:jc w:val="left"/>
            </w:pPr>
            <w:r>
              <w:t xml:space="preserve">graines stériles (étage 1)</w:t>
            </w:r>
          </w:p>
        </w:tc>
        <w:tc>
          <w:tcPr/>
          <w:p>
            <w:pPr>
              <w:pStyle w:val="Compact"/>
              <w:jc w:val="center"/>
            </w:pPr>
            <w:r>
              <w:t xml:space="preserve">180</w:t>
            </w:r>
          </w:p>
        </w:tc>
        <w:tc>
          <w:tcPr/>
          <w:p>
            <w:pPr>
              <w:pStyle w:val="Compact"/>
              <w:jc w:val="center"/>
            </w:pPr>
            <w:r>
              <w:t xml:space="preserve">77</w:t>
            </w:r>
          </w:p>
        </w:tc>
        <w:tc>
          <w:tcPr/>
          <w:p>
            <w:pPr>
              <w:pStyle w:val="Compact"/>
              <w:jc w:val="center"/>
            </w:pPr>
            <w:r>
              <w:t xml:space="preserve">175</w:t>
            </w:r>
          </w:p>
        </w:tc>
      </w:tr>
      <w:tr>
        <w:tc>
          <w:tcPr/>
          <w:p>
            <w:pPr>
              <w:pStyle w:val="Compact"/>
              <w:jc w:val="left"/>
            </w:pPr>
            <w:r>
              <w:t xml:space="preserve">cellules avec un point nominal faisable</w:t>
            </w:r>
          </w:p>
        </w:tc>
        <w:tc>
          <w:tcPr/>
          <w:p>
            <w:pPr>
              <w:pStyle w:val="Compact"/>
              <w:jc w:val="center"/>
            </w:pPr>
            <w:r>
              <w:t xml:space="preserve">0</w:t>
            </w:r>
          </w:p>
        </w:tc>
        <w:tc>
          <w:tcPr/>
          <w:p>
            <w:pPr>
              <w:pStyle w:val="Compact"/>
              <w:jc w:val="center"/>
            </w:pPr>
            <w:r>
              <w:t xml:space="preserve">159</w:t>
            </w:r>
          </w:p>
        </w:tc>
        <w:tc>
          <w:tcPr/>
          <w:p>
            <w:pPr>
              <w:pStyle w:val="Compact"/>
              <w:jc w:val="center"/>
            </w:pPr>
            <w:r>
              <w:t xml:space="preserve">65</w:t>
            </w:r>
          </w:p>
        </w:tc>
      </w:tr>
      <w:tr>
        <w:tc>
          <w:tcPr/>
          <w:p>
            <w:pPr>
              <w:pStyle w:val="Compact"/>
              <w:jc w:val="left"/>
            </w:pPr>
            <w:r>
              <w:t xml:space="preserve">meilleure marge nominale (étage 1)</w:t>
            </w:r>
          </w:p>
        </w:tc>
        <w:tc>
          <w:tcPr/>
          <w:p>
            <w:pPr>
              <w:pStyle w:val="Compact"/>
              <w:jc w:val="center"/>
            </w:pPr>
            <m:oMath>
              <m:r>
                <m:rPr>
                  <m:sty m:val="p"/>
                </m:rPr>
                <m:t>−</m:t>
              </m:r>
              <m:r>
                <m:t>0</m:t>
              </m:r>
              <m:r>
                <m:rPr>
                  <m:sty m:val="p"/>
                </m:rPr>
                <m:t>,</m:t>
              </m:r>
              <m:r>
                <m:t>037</m:t>
              </m:r>
            </m:oMath>
          </w:p>
        </w:tc>
        <w:tc>
          <w:tcPr/>
          <w:p>
            <w:pPr>
              <w:pStyle w:val="Compact"/>
              <w:jc w:val="center"/>
            </w:pPr>
            <m:oMath>
              <m:r>
                <m:t>0</m:t>
              </m:r>
              <m:r>
                <m:rPr>
                  <m:sty m:val="p"/>
                </m:rPr>
                <m:t>,</m:t>
              </m:r>
              <m:r>
                <m:t>221</m:t>
              </m:r>
            </m:oMath>
          </w:p>
        </w:tc>
        <w:tc>
          <w:tcPr/>
          <w:p>
            <w:pPr>
              <w:pStyle w:val="Compact"/>
              <w:jc w:val="center"/>
            </w:pPr>
            <m:oMath>
              <m:r>
                <m:t>0</m:t>
              </m:r>
              <m:r>
                <m:rPr>
                  <m:sty m:val="p"/>
                </m:rPr>
                <m:t>,</m:t>
              </m:r>
              <m:r>
                <m:t>059</m:t>
              </m:r>
            </m:oMath>
          </w:p>
        </w:tc>
      </w:tr>
      <w:tr>
        <w:tc>
          <w:tcPr/>
          <w:p>
            <w:pPr>
              <w:pStyle w:val="Compact"/>
              <w:jc w:val="left"/>
            </w:pPr>
            <w:r>
              <w:t xml:space="preserve">cellules robustement faisables</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r>
      <w:tr>
        <w:tc>
          <w:tcPr/>
          <w:p>
            <w:pPr>
              <w:pStyle w:val="Compact"/>
              <w:jc w:val="left"/>
            </w:pPr>
            <w:r>
              <w:t xml:space="preserve">meilleure marge robuste (étage 2)</w:t>
            </w:r>
          </w:p>
        </w:tc>
        <w:tc>
          <w:tcPr/>
          <w:p>
            <w:pPr>
              <w:pStyle w:val="Compact"/>
              <w:jc w:val="center"/>
            </w:pPr>
            <m:oMath>
              <m:r>
                <m:rPr>
                  <m:sty m:val="p"/>
                </m:rPr>
                <m:t>−</m:t>
              </m:r>
              <m:r>
                <m:t>0</m:t>
              </m:r>
              <m:r>
                <m:rPr>
                  <m:sty m:val="p"/>
                </m:rPr>
                <m:t>,</m:t>
              </m:r>
              <m:r>
                <m:t>439</m:t>
              </m:r>
            </m:oMath>
          </w:p>
        </w:tc>
        <w:tc>
          <w:tcPr/>
          <w:p>
            <w:pPr>
              <w:pStyle w:val="Compact"/>
              <w:jc w:val="center"/>
            </w:pPr>
            <m:oMath>
              <m:r>
                <m:rPr>
                  <m:sty m:val="p"/>
                </m:rPr>
                <m:t>−</m:t>
              </m:r>
              <m:r>
                <m:t>0</m:t>
              </m:r>
              <m:r>
                <m:rPr>
                  <m:sty m:val="p"/>
                </m:rPr>
                <m:t>,</m:t>
              </m:r>
              <m:r>
                <m:t>067</m:t>
              </m:r>
            </m:oMath>
          </w:p>
        </w:tc>
        <w:tc>
          <w:tcPr/>
          <w:p>
            <w:pPr>
              <w:pStyle w:val="Compact"/>
              <w:jc w:val="center"/>
            </w:pPr>
            <m:oMath>
              <m:r>
                <m:rPr>
                  <m:sty m:val="p"/>
                </m:rPr>
                <m:t>−</m:t>
              </m:r>
              <m:r>
                <m:t>0</m:t>
              </m:r>
              <m:r>
                <m:rPr>
                  <m:sty m:val="p"/>
                </m:rPr>
                <m:t>,</m:t>
              </m:r>
              <m:r>
                <m:t>312</m:t>
              </m:r>
            </m:oMath>
          </w:p>
        </w:tc>
      </w:tr>
      <w:tr>
        <w:tc>
          <w:tcPr/>
          <w:p>
            <w:pPr>
              <w:pStyle w:val="Compact"/>
              <w:jc w:val="left"/>
            </w:pPr>
            <w:r>
              <w:t xml:space="preserve">Friedman,</w:t>
            </w:r>
            <w:r>
              <w:t xml:space="preserve"> </w:t>
            </w:r>
            <m:oMath>
              <m:r>
                <m:t>p</m:t>
              </m:r>
            </m:oMath>
          </w:p>
        </w:tc>
        <w:tc>
          <w:tcPr/>
          <w:p>
            <w:pPr>
              <w:pStyle w:val="Compact"/>
              <w:jc w:val="center"/>
            </w:pPr>
            <m:oMath>
              <m:r>
                <m:t>2</m:t>
              </m:r>
              <m:r>
                <m:rPr>
                  <m:sty m:val="p"/>
                </m:rPr>
                <m:t>,</m:t>
              </m:r>
              <m:r>
                <m:t>0</m:t>
              </m:r>
              <m:r>
                <m:rPr>
                  <m:sty m:val="p"/>
                </m:rPr>
                <m:t>×</m:t>
              </m:r>
              <m:sSup>
                <m:e>
                  <m:r>
                    <m:t>10</m:t>
                  </m:r>
                </m:e>
                <m:sup>
                  <m:r>
                    <m:rPr>
                      <m:sty m:val="p"/>
                    </m:rPr>
                    <m:t>−</m:t>
                  </m:r>
                  <m:r>
                    <m:t>18</m:t>
                  </m:r>
                </m:sup>
              </m:sSup>
            </m:oMath>
          </w:p>
        </w:tc>
        <w:tc>
          <w:tcPr/>
          <w:p>
            <w:pPr>
              <w:pStyle w:val="Compact"/>
              <w:jc w:val="center"/>
            </w:pPr>
            <m:oMath>
              <m:r>
                <m:t>2</m:t>
              </m:r>
              <m:r>
                <m:rPr>
                  <m:sty m:val="p"/>
                </m:rPr>
                <m:t>,</m:t>
              </m:r>
              <m:r>
                <m:t>5</m:t>
              </m:r>
              <m:r>
                <m:rPr>
                  <m:sty m:val="p"/>
                </m:rPr>
                <m:t>×</m:t>
              </m:r>
              <m:sSup>
                <m:e>
                  <m:r>
                    <m:t>10</m:t>
                  </m:r>
                </m:e>
                <m:sup>
                  <m:r>
                    <m:rPr>
                      <m:sty m:val="p"/>
                    </m:rPr>
                    <m:t>−</m:t>
                  </m:r>
                  <m:r>
                    <m:t>14</m:t>
                  </m:r>
                </m:sup>
              </m:sSup>
            </m:oMath>
          </w:p>
        </w:tc>
        <w:tc>
          <w:tcPr/>
          <w:p>
            <w:pPr>
              <w:pStyle w:val="Compact"/>
              <w:jc w:val="center"/>
            </w:pPr>
            <m:oMath>
              <m:r>
                <m:t>1</m:t>
              </m:r>
              <m:r>
                <m:rPr>
                  <m:sty m:val="p"/>
                </m:rPr>
                <m:t>,</m:t>
              </m:r>
              <m:r>
                <m:t>1</m:t>
              </m:r>
              <m:r>
                <m:rPr>
                  <m:sty m:val="p"/>
                </m:rPr>
                <m:t>×</m:t>
              </m:r>
              <m:sSup>
                <m:e>
                  <m:r>
                    <m:t>10</m:t>
                  </m:r>
                </m:e>
                <m:sup>
                  <m:r>
                    <m:rPr>
                      <m:sty m:val="p"/>
                    </m:rPr>
                    <m:t>−</m:t>
                  </m:r>
                  <m:r>
                    <m:t>16</m:t>
                  </m:r>
                </m:sup>
              </m:sSup>
            </m:oMath>
          </w:p>
        </w:tc>
      </w:tr>
      <w:tr>
        <w:tc>
          <w:tcPr/>
          <w:p>
            <w:pPr>
              <w:pStyle w:val="Compact"/>
              <w:jc w:val="left"/>
            </w:pPr>
            <w:r>
              <w:t xml:space="preserve">paires significatives (Holm, sur 15)</w:t>
            </w:r>
          </w:p>
        </w:tc>
        <w:tc>
          <w:tcPr/>
          <w:p>
            <w:pPr>
              <w:pStyle w:val="Compact"/>
              <w:jc w:val="center"/>
            </w:pPr>
            <w:r>
              <w:t xml:space="preserve">11</w:t>
            </w:r>
          </w:p>
        </w:tc>
        <w:tc>
          <w:tcPr/>
          <w:p>
            <w:pPr>
              <w:pStyle w:val="Compact"/>
              <w:jc w:val="center"/>
            </w:pPr>
            <w:r>
              <w:t xml:space="preserve">9</w:t>
            </w:r>
          </w:p>
        </w:tc>
        <w:tc>
          <w:tcPr/>
          <w:p>
            <w:pPr>
              <w:pStyle w:val="Compact"/>
              <w:jc w:val="center"/>
            </w:pPr>
            <w:r>
              <w:t xml:space="preserve">8</w:t>
            </w:r>
          </w:p>
        </w:tc>
      </w:tr>
      <w:tr>
        <w:tc>
          <w:tcPr/>
          <w:p>
            <w:pPr>
              <w:pStyle w:val="Compact"/>
              <w:jc w:val="left"/>
            </w:pPr>
            <w:r>
              <w:t xml:space="preserve">méthode de meilleure marge médiane</w:t>
            </w:r>
          </w:p>
        </w:tc>
        <w:tc>
          <w:tcPr/>
          <w:p>
            <w:pPr>
              <w:pStyle w:val="Compact"/>
              <w:jc w:val="center"/>
            </w:pPr>
            <w:r>
              <w:t xml:space="preserve">PSO</w:t>
            </w:r>
          </w:p>
        </w:tc>
        <w:tc>
          <w:tcPr/>
          <w:p>
            <w:pPr>
              <w:pStyle w:val="Compact"/>
              <w:jc w:val="center"/>
            </w:pPr>
            <w:r>
              <w:t xml:space="preserve">pIGWO</w:t>
            </w:r>
          </w:p>
        </w:tc>
        <w:tc>
          <w:tcPr/>
          <w:p>
            <w:pPr>
              <w:pStyle w:val="Compact"/>
              <w:jc w:val="center"/>
            </w:pPr>
            <w:r>
              <w:t xml:space="preserve">pIGWO</w:t>
            </w:r>
          </w:p>
        </w:tc>
      </w:tr>
    </w:tbl>
    <w:bookmarkEnd w:id="50"/>
    <w:p>
      <w:pPr>
        <w:pStyle w:val="BodyText"/>
      </w:pPr>
      <w:r>
        <w:t xml:space="preserve">Le bras v5, conforme au cadrage, ne trouve</w:t>
      </w:r>
      <w:r>
        <w:t xml:space="preserve"> </w:t>
      </w:r>
      <w:r>
        <w:rPr>
          <w:iCs/>
          <w:i/>
        </w:rPr>
        <w:t xml:space="preserve">aucun</w:t>
      </w:r>
      <w:r>
        <w:t xml:space="preserve"> </w:t>
      </w:r>
      <w:r>
        <w:t xml:space="preserve">point nominalement</w:t>
      </w:r>
      <w:r>
        <w:t xml:space="preserve"> </w:t>
      </w:r>
      <w:r>
        <w:t xml:space="preserve">faisable en 700 appels, pour aucune des 180 cellules. Libérer</w:t>
      </w:r>
      <w:r>
        <w:t xml:space="preserve"> </w:t>
      </w:r>
      <m:oMath>
        <m:r>
          <m:t>b</m:t>
        </m:r>
      </m:oMath>
      <w:r>
        <w:t xml:space="preserve"> </w:t>
      </w:r>
      <w:r>
        <w:t xml:space="preserve">(v5b) rend</w:t>
      </w:r>
      <w:r>
        <w:t xml:space="preserve"> </w:t>
      </w:r>
      <w:r>
        <w:t xml:space="preserve">la faisabilité nominale accessible dans 159 cellules sur</w:t>
      </w:r>
      <w:r>
        <w:t xml:space="preserve"> </w:t>
      </w:r>
      <w:r>
        <w:t xml:space="preserve">180, et libérer</w:t>
      </w:r>
      <w:r>
        <w:t xml:space="preserve"> </w:t>
      </w:r>
      <m:oMath>
        <m:sSub>
          <m:e>
            <m:r>
              <m:t>k</m:t>
            </m:r>
          </m:e>
          <m:sub>
            <m:r>
              <m:t>p</m:t>
            </m:r>
          </m:sub>
        </m:sSub>
      </m:oMath>
      <w:r>
        <w:t xml:space="preserve"> </w:t>
      </w:r>
      <w:r>
        <w:t xml:space="preserve">(v5kp) dans 65 ; dans les deux cas,</w:t>
      </w:r>
      <w:r>
        <w:t xml:space="preserve"> </w:t>
      </w:r>
      <w:r>
        <w:t xml:space="preserve">aucune cellule ne tient sur le jeu de conception.</w:t>
      </w:r>
    </w:p>
    <w:p>
      <w:pPr>
        <w:pStyle w:val="BodyText"/>
      </w:pPr>
      <w:r>
        <w:t xml:space="preserve">Les tests de Friedman sont significatifs dans chaque bras. Ces différences</w:t>
      </w:r>
      <w:r>
        <w:t xml:space="preserve"> </w:t>
      </w:r>
      <w:r>
        <w:t xml:space="preserve">portent toutefois sur la</w:t>
      </w:r>
      <w:r>
        <w:t xml:space="preserve"> </w:t>
      </w:r>
      <w:r>
        <w:rPr>
          <w:iCs/>
          <w:i/>
        </w:rPr>
        <w:t xml:space="preserve">proximité</w:t>
      </w:r>
      <w:r>
        <w:t xml:space="preserve"> </w:t>
      </w:r>
      <w:r>
        <w:t xml:space="preserve">de la faisabilité (des marges</w:t>
      </w:r>
      <w:r>
        <w:t xml:space="preserve"> </w:t>
      </w:r>
      <w:r>
        <w:t xml:space="preserve">toutes négatives), et non sur une faisabilité atteinte. Le classement des</w:t>
      </w:r>
      <w:r>
        <w:t xml:space="preserve"> </w:t>
      </w:r>
      <w:r>
        <w:t xml:space="preserve">méthodes change d’un bras à l’autre (PSO en tête sur v5,</w:t>
      </w:r>
      <w:r>
        <w:t xml:space="preserve"> </w:t>
      </w:r>
      <w:r>
        <w:t xml:space="preserve">pIGWO sur v5b) : aucune supériorité universelle n’est</w:t>
      </w:r>
      <w:r>
        <w:t xml:space="preserve"> </w:t>
      </w:r>
      <w:r>
        <w:t xml:space="preserve">établie (figure </w:t>
      </w:r>
      <w:hyperlink w:anchor="fig:graines">
        <w:r>
          <w:rPr>
            <w:rStyle w:val="Hyperlink"/>
          </w:rPr>
          <w:t xml:space="preserve">3</w:t>
        </w:r>
      </w:hyperlink>
      <w:r>
        <w:t xml:space="preserve">).</w:t>
      </w:r>
    </w:p>
    <w:tbl>
      <w:tblPr>
        <w:tblStyle w:val="FigureTable"/>
        <w:tblW w:type="auto" w:w="0"/>
        <w:tblLook w:firstRow="0" w:lastRow="0" w:firstColumn="0" w:lastColumn="0"/>
        <w:jc w:val="center"/>
      </w:tblPr>
      <w:tblGrid>
        <w:gridCol w:w="7920"/>
      </w:tblGrid>
      <w:tr>
        <w:tc>
          <w:tcPr/>
          <w:p>
            <w:pPr>
              <w:jc w:val="center"/>
            </w:pPr>
            <w:r>
              <w:drawing>
                <wp:inline>
                  <wp:extent cx="5293411" cy="2830504"/>
                  <wp:effectExtent b="0" l="0" r="0" t="0"/>
                  <wp:docPr descr="image" title="" id="52" name="Picture"/>
                  <a:graphic>
                    <a:graphicData uri="http://schemas.openxmlformats.org/drawingml/2006/picture">
                      <pic:pic>
                        <pic:nvPicPr>
                          <pic:cNvPr descr="../../../figures/fig_graines_v5.png" id="53" name="Picture"/>
                          <pic:cNvPicPr>
                            <a:picLocks noChangeArrowheads="1" noChangeAspect="1"/>
                          </pic:cNvPicPr>
                        </pic:nvPicPr>
                        <pic:blipFill>
                          <a:blip r:embed="rId51"/>
                          <a:stretch>
                            <a:fillRect/>
                          </a:stretch>
                        </pic:blipFill>
                        <pic:spPr bwMode="auto">
                          <a:xfrm>
                            <a:off x="0" y="0"/>
                            <a:ext cx="5293411" cy="2830504"/>
                          </a:xfrm>
                          <a:prstGeom prst="rect">
                            <a:avLst/>
                          </a:prstGeom>
                          <a:noFill/>
                          <a:ln w="9525">
                            <a:noFill/>
                            <a:headEnd/>
                            <a:tailEnd/>
                          </a:ln>
                        </pic:spPr>
                      </pic:pic>
                    </a:graphicData>
                  </a:graphic>
                </wp:inline>
              </w:drawing>
            </w:r>
            <w:r>
              <w:t xml:space="preserve"> </w:t>
            </w:r>
            <w:r>
              <w:drawing>
                <wp:inline>
                  <wp:extent cx="5293411" cy="2830504"/>
                  <wp:effectExtent b="0" l="0" r="0" t="0"/>
                  <wp:docPr descr="image" title="" id="55" name="Picture"/>
                  <a:graphic>
                    <a:graphicData uri="http://schemas.openxmlformats.org/drawingml/2006/picture">
                      <pic:pic>
                        <pic:nvPicPr>
                          <pic:cNvPr descr="../../../figures/fig_graines_v5b.png" id="56" name="Picture"/>
                          <pic:cNvPicPr>
                            <a:picLocks noChangeArrowheads="1" noChangeAspect="1"/>
                          </pic:cNvPicPr>
                        </pic:nvPicPr>
                        <pic:blipFill>
                          <a:blip r:embed="rId54"/>
                          <a:stretch>
                            <a:fillRect/>
                          </a:stretch>
                        </pic:blipFill>
                        <pic:spPr bwMode="auto">
                          <a:xfrm>
                            <a:off x="0" y="0"/>
                            <a:ext cx="5293411" cy="2830504"/>
                          </a:xfrm>
                          <a:prstGeom prst="rect">
                            <a:avLst/>
                          </a:prstGeom>
                          <a:noFill/>
                          <a:ln w="9525">
                            <a:noFill/>
                            <a:headEnd/>
                            <a:tailEnd/>
                          </a:ln>
                        </pic:spPr>
                      </pic:pic>
                    </a:graphicData>
                  </a:graphic>
                </wp:inline>
              </w:drawing>
            </w:r>
          </w:p>
        </w:tc>
      </w:tr>
    </w:tbl>
    <w:p>
      <w:pPr>
        <w:pStyle w:val="ImageCaption"/>
      </w:pPr>
      <w:r>
        <w:t xml:space="preserve">Marge robuste par graine (unité statistique), bras v5 et v5b.</w:t>
      </w:r>
      <w:r>
        <w:t xml:space="preserve"> </w:t>
      </w:r>
      <w:r>
        <w:t xml:space="preserve">Échelle symlog : linéaire sur</w:t>
      </w:r>
      <w:r>
        <w:t xml:space="preserve"> </w:t>
      </w:r>
      <m:oMath>
        <m:d>
          <m:dPr>
            <m:begChr m:val="["/>
            <m:endChr m:val="]"/>
            <m:sepChr m:val=""/>
            <m:grow/>
          </m:dPr>
          <m:e>
            <m:r>
              <m:rPr>
                <m:sty m:val="p"/>
              </m:rPr>
              <m:t>−</m:t>
            </m:r>
            <m:r>
              <m:t>1</m:t>
            </m:r>
            <m:r>
              <m:rPr>
                <m:sty m:val="p"/>
              </m:rPr>
              <m:t>;</m:t>
            </m:r>
            <m:r>
              <m:t>1</m:t>
            </m:r>
          </m:e>
        </m:d>
      </m:oMath>
      <w:r>
        <w:t xml:space="preserve">.</w:t>
      </w:r>
    </w:p>
    <w:bookmarkStart w:id="57" w:name="étage-3-et-test-scellé."/>
    <w:p>
      <w:pPr>
        <w:pStyle w:val="Heading4"/>
      </w:pPr>
      <w:r>
        <w:t xml:space="preserve">Étage 3 et test scellé.</w:t>
      </w:r>
    </w:p>
    <w:p>
      <w:pPr>
        <w:pStyle w:val="FirstParagraph"/>
      </w:pPr>
      <w:r>
        <w:t xml:space="preserve">Aucun candidat n’étant faisable en conception, l’étage 3 n’a rien à rejouer</w:t>
      </w:r>
      <w:r>
        <w:t xml:space="preserve"> </w:t>
      </w:r>
      <w:r>
        <w:t xml:space="preserve">et le test scellé</w:t>
      </w:r>
      <w:r>
        <w:t xml:space="preserve"> </w:t>
      </w:r>
      <w:r>
        <w:rPr>
          <w:iCs/>
          <w:i/>
        </w:rPr>
        <w:t xml:space="preserve">n’a pas été joué</w:t>
      </w:r>
      <w:r>
        <w:t xml:space="preserve">. Il reste vierge, graine</w:t>
      </w:r>
      <w:r>
        <w:t xml:space="preserve"> </w:t>
      </w:r>
      <w:r>
        <w:t xml:space="preserve">2026092402 comprise, et conserve toute sa valeur probante pour une</w:t>
      </w:r>
      <w:r>
        <w:t xml:space="preserve"> </w:t>
      </w:r>
      <w:r>
        <w:t xml:space="preserve">étude ultérieure.</w:t>
      </w:r>
    </w:p>
    <w:bookmarkEnd w:id="57"/>
    <w:bookmarkEnd w:id="58"/>
    <w:bookmarkStart w:id="64" w:name="deux-diagnostics-post-hoc"/>
    <w:p>
      <w:pPr>
        <w:pStyle w:val="Heading2"/>
      </w:pPr>
      <w:r>
        <w:t xml:space="preserve">Deux diagnostics post hoc</w:t>
      </w:r>
    </w:p>
    <w:p>
      <w:pPr>
        <w:pStyle w:val="FirstParagraph"/>
      </w:pPr>
      <w:r>
        <w:t xml:space="preserve">Les deux diagnostics suivants ont été ajoutés</w:t>
      </w:r>
      <w:r>
        <w:t xml:space="preserve"> </w:t>
      </w:r>
      <w:r>
        <w:rPr>
          <w:iCs/>
          <w:i/>
        </w:rPr>
        <w:t xml:space="preserve">après</w:t>
      </w:r>
      <w:r>
        <w:t xml:space="preserve"> </w:t>
      </w:r>
      <w:r>
        <w:t xml:space="preserve">observation. Ils</w:t>
      </w:r>
      <w:r>
        <w:t xml:space="preserve"> </w:t>
      </w:r>
      <w:r>
        <w:t xml:space="preserve">sont rapportés, mais n’ont servi à aucune sélection.</w:t>
      </w:r>
    </w:p>
    <w:bookmarkStart w:id="59" w:name="X2355c38ee588abde297afdbf0128ac4d58cc369"/>
    <w:p>
      <w:pPr>
        <w:pStyle w:val="Heading4"/>
      </w:pPr>
      <w:r>
        <w:t xml:space="preserve">Plancher de tension à rapport cyclique minimal.</w:t>
      </w:r>
    </w:p>
    <w:p>
      <w:pPr>
        <w:pStyle w:val="FirstParagraph"/>
      </w:pPr>
      <w:r>
        <w:t xml:space="preserve">Les marges</w:t>
      </w:r>
      <w:r>
        <w:t xml:space="preserve"> </w:t>
      </w:r>
      <m:oMath>
        <m:sSub>
          <m:e>
            <m:r>
              <m:t>g</m:t>
            </m:r>
          </m:e>
          <m:sub>
            <m:r>
              <m:t>6</m:t>
            </m:r>
          </m:sub>
        </m:sSub>
      </m:oMath>
      <w:r>
        <w:t xml:space="preserve"> </w:t>
      </w:r>
      <w:r>
        <w:t xml:space="preserve">reviennent à l’identique, à la quatrième décimale près,</w:t>
      </w:r>
      <w:r>
        <w:t xml:space="preserve"> </w:t>
      </w:r>
      <w:r>
        <w:t xml:space="preserve">d’un correcteur et d’un bras à l’autre. À</w:t>
      </w:r>
      <w:r>
        <w:t xml:space="preserve"> </w:t>
      </w:r>
      <m:oMath>
        <m:r>
          <m:t>d</m:t>
        </m:r>
        <m:r>
          <m:rPr>
            <m:sty m:val="p"/>
          </m:rPr>
          <m:t>=</m:t>
        </m:r>
        <m:sSub>
          <m:e>
            <m:r>
              <m:t>d</m:t>
            </m:r>
          </m:e>
          <m:sub>
            <m:r>
              <m:rPr>
                <m:sty m:val="p"/>
              </m:rPr>
              <m:t>m</m:t>
            </m:r>
            <m:r>
              <m:rPr>
                <m:sty m:val="p"/>
              </m:rPr>
              <m:t>i</m:t>
            </m:r>
            <m:r>
              <m:rPr>
                <m:sty m:val="p"/>
              </m:rPr>
              <m:t>n</m:t>
            </m:r>
          </m:sub>
        </m:sSub>
        <m:r>
          <m:rPr>
            <m:sty m:val="p"/>
          </m:rPr>
          <m:t>=</m:t>
        </m:r>
        <m:r>
          <m:t>0</m:t>
        </m:r>
        <m:r>
          <m:rPr>
            <m:sty m:val="p"/>
          </m:rPr>
          <m:t>,</m:t>
        </m:r>
        <m:r>
          <m:t>02</m:t>
        </m:r>
      </m:oMath>
      <w:r>
        <w:t xml:space="preserve"> </w:t>
      </w:r>
      <w:r>
        <w:t xml:space="preserve">en boucle</w:t>
      </w:r>
      <w:r>
        <w:t xml:space="preserve"> </w:t>
      </w:r>
      <w:r>
        <w:t xml:space="preserve">ouverte, le convertisseur en conduction discontinue se stabilise à</w:t>
      </w:r>
      <w:r>
        <w:t xml:space="preserve"> </w:t>
      </w:r>
      <m:oMath>
        <m:r>
          <m:t>0</m:t>
        </m:r>
        <m:r>
          <m:rPr>
            <m:sty m:val="p"/>
          </m:rPr>
          <m:t>,</m:t>
        </m:r>
        <m:r>
          <m:t>755</m:t>
        </m:r>
      </m:oMath>
      <w:r>
        <w:t xml:space="preserve"> V au nominal, et sous</w:t>
      </w:r>
      <w:r>
        <w:t xml:space="preserve"> </w:t>
      </w:r>
      <m:oMath>
        <m:r>
          <m:t>0</m:t>
        </m:r>
        <m:r>
          <m:rPr>
            <m:sty m:val="p"/>
          </m:rPr>
          <m:t>,</m:t>
        </m:r>
        <m:r>
          <m:t>8</m:t>
        </m:r>
      </m:oMath>
      <w:r>
        <w:t xml:space="preserve"> V dans</w:t>
      </w:r>
      <w:r>
        <w:t xml:space="preserve"> </w:t>
      </w:r>
      <w:r>
        <w:t xml:space="preserve">13 des 17 cas (jusqu’à</w:t>
      </w:r>
      <w:r>
        <w:t xml:space="preserve"> </w:t>
      </w:r>
      <m:oMath>
        <m:r>
          <m:t>0</m:t>
        </m:r>
        <m:r>
          <m:rPr>
            <m:sty m:val="p"/>
          </m:rPr>
          <m:t>,</m:t>
        </m:r>
        <m:r>
          <m:t>586</m:t>
        </m:r>
      </m:oMath>
      <w:r>
        <w:t xml:space="preserve"> V). Tout correcteur qui reste saturé au plancher pendant la</w:t>
      </w:r>
      <w:r>
        <w:t xml:space="preserve"> </w:t>
      </w:r>
      <w:r>
        <w:t xml:space="preserve">descente</w:t>
      </w:r>
      <w:r>
        <w:t xml:space="preserve"> </w:t>
      </w:r>
      <m:oMath>
        <m:r>
          <m:t>24</m:t>
        </m:r>
        <m:r>
          <m:rPr>
            <m:sty m:val="p"/>
          </m:rPr>
          <m:t>→</m:t>
        </m:r>
        <m:r>
          <m:t>1</m:t>
        </m:r>
      </m:oMath>
      <w:r>
        <w:t xml:space="preserve"> V y est piégé et viole</w:t>
      </w:r>
      <w:r>
        <w:t xml:space="preserve"> </w:t>
      </w:r>
      <m:oMath>
        <m:sSub>
          <m:e>
            <m:r>
              <m:t>g</m:t>
            </m:r>
          </m:e>
          <m:sub>
            <m:r>
              <m:t>6</m:t>
            </m:r>
          </m:sub>
        </m:sSub>
      </m:oMath>
      <w:r>
        <w:t xml:space="preserve"> </w:t>
      </w:r>
      <w:r>
        <w:t xml:space="preserve">; pour satisfaire</w:t>
      </w:r>
      <w:r>
        <w:t xml:space="preserve"> </w:t>
      </w:r>
      <m:oMath>
        <m:sSub>
          <m:e>
            <m:r>
              <m:t>g</m:t>
            </m:r>
          </m:e>
          <m:sub>
            <m:r>
              <m:t>6</m:t>
            </m:r>
          </m:sub>
        </m:sSub>
      </m:oMath>
      <w:r>
        <w:t xml:space="preserve">, il</w:t>
      </w:r>
      <w:r>
        <w:t xml:space="preserve"> </w:t>
      </w:r>
      <w:r>
        <w:t xml:space="preserve">doit se désaturer avant que la tension ne passe sous</w:t>
      </w:r>
      <w:r>
        <w:t xml:space="preserve"> </w:t>
      </w:r>
      <m:oMath>
        <m:r>
          <m:t>0</m:t>
        </m:r>
        <m:r>
          <m:rPr>
            <m:sty m:val="p"/>
          </m:rPr>
          <m:t>,</m:t>
        </m:r>
        <m:r>
          <m:t>8</m:t>
        </m:r>
      </m:oMath>
      <w:r>
        <w:t xml:space="preserve"> V.</w:t>
      </w:r>
    </w:p>
    <w:bookmarkEnd w:id="59"/>
    <w:bookmarkStart w:id="63" w:name="X0b19fb7b7c7469788ef36e707df17222ae1f661"/>
    <w:p>
      <w:pPr>
        <w:pStyle w:val="Heading4"/>
      </w:pPr>
      <w:r>
        <w:t xml:space="preserve">Cycles limites invisibles aux contraintes.</w:t>
      </w:r>
    </w:p>
    <w:p>
      <w:pPr>
        <w:pStyle w:val="FirstParagraph"/>
      </w:pPr>
      <w:r>
        <w:t xml:space="preserve">Le meilleur correcteur de la sonde, faisable au sens des six contraintes,</w:t>
      </w:r>
      <w:r>
        <w:t xml:space="preserve"> </w:t>
      </w:r>
      <w:r>
        <w:t xml:space="preserve">entretient au palier de 24 V un cycle limite à environ</w:t>
      </w:r>
      <w:r>
        <w:t xml:space="preserve"> </w:t>
      </w:r>
      <m:oMath>
        <m:r>
          <m:t>7</m:t>
        </m:r>
        <m:r>
          <m:rPr>
            <m:sty m:val="p"/>
          </m:rPr>
          <m:t>,</m:t>
        </m:r>
        <m:r>
          <m:t>7</m:t>
        </m:r>
      </m:oMath>
      <w:r>
        <w:t xml:space="preserve"> kHz, de</w:t>
      </w:r>
      <w:r>
        <w:t xml:space="preserve"> </w:t>
      </w:r>
      <w:r>
        <w:t xml:space="preserve">624 mV crête à crête sur</w:t>
      </w:r>
      <w:r>
        <w:t xml:space="preserve"> </w:t>
      </w:r>
      <m:oMath>
        <m:sSub>
          <m:e>
            <m:r>
              <m:t>v</m:t>
            </m:r>
          </m:e>
          <m:sub>
            <m:r>
              <m:t>o</m:t>
            </m:r>
          </m:sub>
        </m:sSub>
      </m:oMath>
      <w:r>
        <w:t xml:space="preserve"> </w:t>
      </w:r>
      <w:r>
        <w:t xml:space="preserve">moyennée par période MLI</w:t>
      </w:r>
      <w:r>
        <w:t xml:space="preserve"> </w:t>
      </w:r>
      <w:r>
        <w:t xml:space="preserve">(figure </w:t>
      </w:r>
      <w:hyperlink w:anchor="fig:traj">
        <w:r>
          <w:rPr>
            <w:rStyle w:val="Hyperlink"/>
          </w:rPr>
          <w:t xml:space="preserve">4</w:t>
        </w:r>
      </w:hyperlink>
      <w:r>
        <w:t xml:space="preserve">). Le correcteur obtenu avec</w:t>
      </w:r>
      <w:r>
        <w:t xml:space="preserve"> </w:t>
      </w:r>
      <m:oMath>
        <m:r>
          <m:t>b</m:t>
        </m:r>
        <m:r>
          <m:rPr>
            <m:sty m:val="p"/>
          </m:rPr>
          <m:t>=</m:t>
        </m:r>
        <m:r>
          <m:t>1</m:t>
        </m:r>
      </m:oMath>
      <w:r>
        <w:t xml:space="preserve"> </w:t>
      </w:r>
      <w:r>
        <w:t xml:space="preserve">oscille aussi, plus</w:t>
      </w:r>
      <w:r>
        <w:t xml:space="preserve"> </w:t>
      </w:r>
      <w:r>
        <w:t xml:space="preserve">faiblement (158 mV). Les erreurs de palier sont des moyennes de fenêtre, qui</w:t>
      </w:r>
      <w:r>
        <w:t xml:space="preserve"> </w:t>
      </w:r>
      <w:r>
        <w:t xml:space="preserve">annulent l’oscillation, et le terme en</w:t>
      </w:r>
      <w:r>
        <w:t xml:space="preserve"> </w:t>
      </w:r>
      <m:oMath>
        <m:d>
          <m:dPr>
            <m:begChr m:val="|"/>
            <m:endChr m:val="|"/>
            <m:sepChr m:val=""/>
            <m:grow/>
          </m:dPr>
          <m:e>
            <m:r>
              <m:t>Δ</m:t>
            </m:r>
            <m:r>
              <m:t>d</m:t>
            </m:r>
          </m:e>
        </m:d>
      </m:oMath>
      <w:r>
        <w:t xml:space="preserve"> </w:t>
      </w:r>
      <w:r>
        <w:t xml:space="preserve">de</w:t>
      </w:r>
      <w:r>
        <w:t xml:space="preserve"> </w:t>
      </w:r>
      <m:oMath>
        <m:r>
          <m:t>J</m:t>
        </m:r>
      </m:oMath>
      <w:r>
        <w:t xml:space="preserve"> </w:t>
      </w:r>
      <w:r>
        <w:t xml:space="preserve">est trop faible pour</w:t>
      </w:r>
      <w:r>
        <w:t xml:space="preserve"> </w:t>
      </w:r>
      <w:r>
        <w:t xml:space="preserve">la pénaliser. Avec</w:t>
      </w:r>
      <w:r>
        <w:t xml:space="preserve"> </w:t>
      </w:r>
      <m:oMath>
        <m:r>
          <m:t>b</m:t>
        </m:r>
        <m:r>
          <m:rPr>
            <m:sty m:val="p"/>
          </m:rPr>
          <m:t>=</m:t>
        </m:r>
        <m:r>
          <m:t>0</m:t>
        </m:r>
      </m:oMath>
      <w:r>
        <w:t xml:space="preserve">, la sortie chute en outre d’environ 24 à 14 V au</w:t>
      </w:r>
      <w:r>
        <w:t xml:space="preserve"> </w:t>
      </w:r>
      <w:r>
        <w:t xml:space="preserve">démarrage, transitoire qu’aucune contrainte ne voit.</w:t>
      </w:r>
    </w:p>
    <w:p>
      <w:pPr>
        <w:pStyle w:val="CaptionedFigure"/>
      </w:pPr>
      <w:r>
        <w:drawing>
          <wp:inline>
            <wp:extent cx="5141776" cy="3979248"/>
            <wp:effectExtent b="0" l="0" r="0" t="0"/>
            <wp:docPr descr="" title="" id="61" name="Picture"/>
            <a:graphic>
              <a:graphicData uri="http://schemas.openxmlformats.org/drawingml/2006/picture">
                <pic:pic>
                  <pic:nvPicPr>
                    <pic:cNvPr descr="../../../figures/fig_trajectoire_b_libre.png" id="62" name="Picture"/>
                    <pic:cNvPicPr>
                      <a:picLocks noChangeArrowheads="1" noChangeAspect="1"/>
                    </pic:cNvPicPr>
                  </pic:nvPicPr>
                  <pic:blipFill>
                    <a:blip r:embed="rId60"/>
                    <a:stretch>
                      <a:fillRect/>
                    </a:stretch>
                  </pic:blipFill>
                  <pic:spPr bwMode="auto">
                    <a:xfrm>
                      <a:off x="0" y="0"/>
                      <a:ext cx="5141776" cy="3979248"/>
                    </a:xfrm>
                    <a:prstGeom prst="rect">
                      <a:avLst/>
                    </a:prstGeom>
                    <a:noFill/>
                    <a:ln w="9525">
                      <a:noFill/>
                      <a:headEnd/>
                      <a:tailEnd/>
                    </a:ln>
                  </pic:spPr>
                </pic:pic>
              </a:graphicData>
            </a:graphic>
          </wp:inline>
        </w:drawing>
      </w:r>
    </w:p>
    <w:p>
      <w:pPr>
        <w:pStyle w:val="ImageCaption"/>
      </w:pPr>
      <w:r>
        <w:t xml:space="preserve">Trajectoire du meilleur correcteur de la sonde (</w:t>
      </w:r>
      <m:oMath>
        <m:r>
          <m:t>b</m:t>
        </m:r>
      </m:oMath>
      <w:r>
        <w:t xml:space="preserve"> </w:t>
      </w:r>
      <w:r>
        <w:t xml:space="preserve">libre).</w:t>
      </w:r>
      <w:r>
        <w:t xml:space="preserve"> </w:t>
      </w:r>
      <w:r>
        <w:t xml:space="preserve">Faisable au sens des six contraintes, il présente un creux au démarrage et</w:t>
      </w:r>
      <w:r>
        <w:t xml:space="preserve"> </w:t>
      </w:r>
      <w:r>
        <w:t xml:space="preserve">un cycle limite au palier de 24 V.</w:t>
      </w:r>
    </w:p>
    <w:bookmarkEnd w:id="63"/>
    <w:bookmarkEnd w:id="64"/>
    <w:bookmarkEnd w:id="65"/>
    <w:bookmarkStart w:id="71" w:name="sec:discussion"/>
    <w:p>
      <w:pPr>
        <w:pStyle w:val="Heading1"/>
      </w:pPr>
      <w:r>
        <w:t xml:space="preserve">Discussion</w:t>
      </w:r>
    </w:p>
    <w:bookmarkStart w:id="66" w:name="ce-que-laudit-change-au-diagnostic."/>
    <w:p>
      <w:pPr>
        <w:pStyle w:val="Heading4"/>
      </w:pPr>
      <w:r>
        <w:t xml:space="preserve">Ce que l’audit change au diagnostic.</w:t>
      </w:r>
    </w:p>
    <w:p>
      <w:pPr>
        <w:pStyle w:val="FirstParagraph"/>
      </w:pPr>
      <w:r>
        <w:t xml:space="preserve">L’échec antérieur était attribué à une borne. L’audit montre que, pour une</w:t>
      </w:r>
      <w:r>
        <w:t xml:space="preserve"> </w:t>
      </w:r>
      <w:r>
        <w:t xml:space="preserve">projection vérifiée, la borne n’est jamais atteinte. Le véritable frein se</w:t>
      </w:r>
      <w:r>
        <w:t xml:space="preserve"> </w:t>
      </w:r>
      <w:r>
        <w:t xml:space="preserve">situe dans l’</w:t>
      </w:r>
      <w:r>
        <w:rPr>
          <w:iCs/>
          <w:i/>
        </w:rPr>
        <w:t xml:space="preserve">image</w:t>
      </w:r>
      <w:r>
        <w:t xml:space="preserve"> </w:t>
      </w:r>
      <w:r>
        <w:t xml:space="preserve">de la paramétrisation : la synthèse FO-LQI ne produit</w:t>
      </w:r>
      <w:r>
        <w:t xml:space="preserve"> </w:t>
      </w:r>
      <w:r>
        <w:t xml:space="preserve">ni les faibles valeurs de</w:t>
      </w:r>
      <w:r>
        <w:t xml:space="preserve"> </w:t>
      </w:r>
      <m:oMath>
        <m:sSub>
          <m:e>
            <m:r>
              <m:t>k</m:t>
            </m:r>
          </m:e>
          <m:sub>
            <m:r>
              <m:t>p</m:t>
            </m:r>
          </m:sub>
        </m:sSub>
      </m:oMath>
      <w:r>
        <w:t xml:space="preserve"> </w:t>
      </w:r>
      <w:r>
        <w:t xml:space="preserve">ni les valeurs de</w:t>
      </w:r>
      <w:r>
        <w:t xml:space="preserve"> </w:t>
      </w:r>
      <m:oMath>
        <m:r>
          <m:t>b</m:t>
        </m:r>
        <m:r>
          <m:rPr>
            <m:sty m:val="p"/>
          </m:rPr>
          <m:t>&lt;</m:t>
        </m:r>
        <m:r>
          <m:t>1</m:t>
        </m:r>
      </m:oMath>
      <w:r>
        <w:t xml:space="preserve"> </w:t>
      </w:r>
      <w:r>
        <w:t xml:space="preserve">que requièrent les</w:t>
      </w:r>
      <w:r>
        <w:t xml:space="preserve"> </w:t>
      </w:r>
      <w:r>
        <w:t xml:space="preserve">points faisables trouvés par recherche directe. Une borne n’est donc</w:t>
      </w:r>
      <w:r>
        <w:t xml:space="preserve"> </w:t>
      </w:r>
      <w:r>
        <w:t xml:space="preserve">significative que rapportée à ce que la chaîne de synthèse peut produire ; un</w:t>
      </w:r>
      <w:r>
        <w:t xml:space="preserve"> </w:t>
      </w:r>
      <w:r>
        <w:t xml:space="preserve">taux de saturation ne dit rien sans la distinction entre saturation</w:t>
      </w:r>
      <w:r>
        <w:t xml:space="preserve"> </w:t>
      </w:r>
      <w:r>
        <w:t xml:space="preserve">structurelle et saturation pathologique.</w:t>
      </w:r>
    </w:p>
    <w:bookmarkEnd w:id="66"/>
    <w:bookmarkStart w:id="67" w:name="ce-que-la-campagne-établit."/>
    <w:p>
      <w:pPr>
        <w:pStyle w:val="Heading4"/>
      </w:pPr>
      <w:r>
        <w:t xml:space="preserve">Ce que la campagne établit.</w:t>
      </w:r>
    </w:p>
    <w:p>
      <w:pPr>
        <w:pStyle w:val="FirstParagraph"/>
      </w:pPr>
      <w:r>
        <w:t xml:space="preserve">Sur 540 cellules préenregistrées, aucun correcteur n’est robustement faisable.</w:t>
      </w:r>
      <w:r>
        <w:t xml:space="preserve"> </w:t>
      </w:r>
      <w:r>
        <w:t xml:space="preserve">Ce résultat négatif est mesuré, non supposé : les graines stériles sont</w:t>
      </w:r>
      <w:r>
        <w:t xml:space="preserve"> </w:t>
      </w:r>
      <w:r>
        <w:t xml:space="preserve">rapportées, les intervalles de Wilson bornent le taux de réussite, et le test</w:t>
      </w:r>
      <w:r>
        <w:t xml:space="preserve"> </w:t>
      </w:r>
      <w:r>
        <w:t xml:space="preserve">scellé est resté intact faute de candidat à tester. Libérer</w:t>
      </w:r>
      <w:r>
        <w:t xml:space="preserve"> </w:t>
      </w:r>
      <m:oMath>
        <m:r>
          <m:t>b</m:t>
        </m:r>
      </m:oMath>
      <w:r>
        <w:t xml:space="preserve"> </w:t>
      </w:r>
      <w:r>
        <w:t xml:space="preserve">ou</w:t>
      </w:r>
      <w:r>
        <w:t xml:space="preserve"> </w:t>
      </w:r>
      <m:oMath>
        <m:sSub>
          <m:e>
            <m:r>
              <m:t>k</m:t>
            </m:r>
          </m:e>
          <m:sub>
            <m:r>
              <m:t>p</m:t>
            </m:r>
          </m:sub>
        </m:sSub>
      </m:oMath>
      <w:r>
        <w:t xml:space="preserve"> </w:t>
      </w:r>
      <w:r>
        <w:t xml:space="preserve">rend</w:t>
      </w:r>
      <w:r>
        <w:t xml:space="preserve"> </w:t>
      </w:r>
      <w:r>
        <w:t xml:space="preserve">la faisabilité</w:t>
      </w:r>
      <w:r>
        <w:t xml:space="preserve"> </w:t>
      </w:r>
      <w:r>
        <w:rPr>
          <w:iCs/>
          <w:i/>
        </w:rPr>
        <w:t xml:space="preserve">nominale</w:t>
      </w:r>
      <w:r>
        <w:t xml:space="preserve"> </w:t>
      </w:r>
      <w:r>
        <w:t xml:space="preserve">accessible, mais pas la robustesse : la</w:t>
      </w:r>
      <w:r>
        <w:t xml:space="preserve"> </w:t>
      </w:r>
      <w:r>
        <w:t xml:space="preserve">liberté de réglage ne suffit pas.</w:t>
      </w:r>
    </w:p>
    <w:bookmarkEnd w:id="67"/>
    <w:bookmarkStart w:id="68" w:name="un-verrou-physique."/>
    <w:p>
      <w:pPr>
        <w:pStyle w:val="Heading4"/>
      </w:pPr>
      <w:r>
        <w:t xml:space="preserve">Un verrou physique.</w:t>
      </w:r>
    </w:p>
    <w:p>
      <w:pPr>
        <w:pStyle w:val="FirstParagraph"/>
      </w:pPr>
      <w:r>
        <w:t xml:space="preserve">Le plancher de tension à rapport cyclique minimal est une propriété du</w:t>
      </w:r>
      <w:r>
        <w:t xml:space="preserve"> </w:t>
      </w:r>
      <w:r>
        <w:t xml:space="preserve">convertisseur, non du correcteur. Le seuil</w:t>
      </w:r>
      <w:r>
        <w:t xml:space="preserve"> </w:t>
      </w:r>
      <m:oMath>
        <m:sSub>
          <m:e>
            <m:r>
              <m:t>V</m:t>
            </m:r>
          </m:e>
          <m:sub>
            <m:r>
              <m:rPr>
                <m:sty m:val="p"/>
              </m:rPr>
              <m:t>m</m:t>
            </m:r>
            <m:r>
              <m:rPr>
                <m:sty m:val="p"/>
              </m:rPr>
              <m:t>i</m:t>
            </m:r>
            <m:r>
              <m:rPr>
                <m:sty m:val="p"/>
              </m:rPr>
              <m:t>n</m:t>
            </m:r>
          </m:sub>
        </m:sSub>
        <m:r>
          <m:rPr>
            <m:sty m:val="p"/>
          </m:rPr>
          <m:t>≥</m:t>
        </m:r>
        <m:r>
          <m:t>0</m:t>
        </m:r>
        <m:r>
          <m:rPr>
            <m:sty m:val="p"/>
          </m:rPr>
          <m:t>,</m:t>
        </m:r>
        <m:r>
          <m:t>8</m:t>
        </m:r>
      </m:oMath>
      <w:r>
        <w:t xml:space="preserve"> V se</w:t>
      </w:r>
      <w:r>
        <w:t xml:space="preserve"> </w:t>
      </w:r>
      <w:r>
        <w:t xml:space="preserve">trouve au-dessus de ce plancher dans la plupart des cas d’incertitude, si</w:t>
      </w:r>
      <w:r>
        <w:t xml:space="preserve"> </w:t>
      </w:r>
      <w:r>
        <w:t xml:space="preserve">bien qu’une commande saturée pendant la descente</w:t>
      </w:r>
      <w:r>
        <w:t xml:space="preserve"> </w:t>
      </w:r>
      <m:oMath>
        <m:r>
          <m:t>24</m:t>
        </m:r>
        <m:r>
          <m:rPr>
            <m:sty m:val="p"/>
          </m:rPr>
          <m:t>→</m:t>
        </m:r>
        <m:r>
          <m:t>1</m:t>
        </m:r>
      </m:oMath>
      <w:r>
        <w:t xml:space="preserve"> V ne peut pas le</w:t>
      </w:r>
      <w:r>
        <w:t xml:space="preserve"> </w:t>
      </w:r>
      <w:r>
        <w:t xml:space="preserve">respecter. Le cahier des charges demande donc implicitement au correcteur de</w:t>
      </w:r>
      <w:r>
        <w:t xml:space="preserve"> </w:t>
      </w:r>
      <w:r>
        <w:t xml:space="preserve">se désaturer à temps, exigence qui dépend de l’anti-emballement autant que</w:t>
      </w:r>
      <w:r>
        <w:t xml:space="preserve"> </w:t>
      </w:r>
      <w:r>
        <w:t xml:space="preserve">des gains. Toute comparaison future devrait examiner si ce seuil est</w:t>
      </w:r>
      <w:r>
        <w:t xml:space="preserve"> </w:t>
      </w:r>
      <w:r>
        <w:t xml:space="preserve">compatible avec</w:t>
      </w:r>
      <w:r>
        <w:t xml:space="preserve"> </w:t>
      </w:r>
      <m:oMath>
        <m:sSub>
          <m:e>
            <m:r>
              <m:t>d</m:t>
            </m:r>
          </m:e>
          <m:sub>
            <m:r>
              <m:rPr>
                <m:sty m:val="p"/>
              </m:rPr>
              <m:t>m</m:t>
            </m:r>
            <m:r>
              <m:rPr>
                <m:sty m:val="p"/>
              </m:rPr>
              <m:t>i</m:t>
            </m:r>
            <m:r>
              <m:rPr>
                <m:sty m:val="p"/>
              </m:rPr>
              <m:t>n</m:t>
            </m:r>
          </m:sub>
        </m:sSub>
        <m:r>
          <m:rPr>
            <m:sty m:val="p"/>
          </m:rPr>
          <m:t>=</m:t>
        </m:r>
        <m:r>
          <m:t>0</m:t>
        </m:r>
        <m:r>
          <m:rPr>
            <m:sty m:val="p"/>
          </m:rPr>
          <m:t>,</m:t>
        </m:r>
        <m:r>
          <m:t>02</m:t>
        </m:r>
      </m:oMath>
      <w:r>
        <w:t xml:space="preserve"> </w:t>
      </w:r>
      <w:r>
        <w:t xml:space="preserve">et la charge, avant de chercher des</w:t>
      </w:r>
      <w:r>
        <w:t xml:space="preserve"> </w:t>
      </w:r>
      <w:r>
        <w:t xml:space="preserve">gains.</w:t>
      </w:r>
    </w:p>
    <w:bookmarkEnd w:id="68"/>
    <w:bookmarkStart w:id="69" w:name="un-angle-mort-du-cahier-des-charges."/>
    <w:p>
      <w:pPr>
        <w:pStyle w:val="Heading4"/>
      </w:pPr>
      <w:r>
        <w:t xml:space="preserve">Un angle mort du cahier des charges.</w:t>
      </w:r>
    </w:p>
    <w:p>
      <w:pPr>
        <w:pStyle w:val="FirstParagraph"/>
      </w:pPr>
      <w:r>
        <w:t xml:space="preserve">Des correcteurs faisables au sens des six contraintes peuvent osciller en</w:t>
      </w:r>
      <w:r>
        <w:t xml:space="preserve"> </w:t>
      </w:r>
      <w:r>
        <w:t xml:space="preserve">permanence. Pour une revue orientée vers la mise en œuvre, c’est le constat</w:t>
      </w:r>
      <w:r>
        <w:t xml:space="preserve"> </w:t>
      </w:r>
      <w:r>
        <w:t xml:space="preserve">le plus lourd de conséquences : une contrainte de moyenne ne garantit pas</w:t>
      </w:r>
      <w:r>
        <w:t xml:space="preserve"> </w:t>
      </w:r>
      <w:r>
        <w:t xml:space="preserve">l’absence de cycle limite. Nous ne modifions pas les contraintes après</w:t>
      </w:r>
      <w:r>
        <w:t xml:space="preserve"> </w:t>
      </w:r>
      <w:r>
        <w:t xml:space="preserve">observation ; nous recommandons d’ajouter, dans une étude future et</w:t>
      </w:r>
      <w:r>
        <w:t xml:space="preserve"> </w:t>
      </w:r>
      <w:r>
        <w:t xml:space="preserve">préenregistrée, une contrainte sur l’amplitude d’oscillation en fenêtre</w:t>
      </w:r>
      <w:r>
        <w:t xml:space="preserve"> </w:t>
      </w:r>
      <w:r>
        <w:t xml:space="preserve">stationnaire.</w:t>
      </w:r>
    </w:p>
    <w:bookmarkEnd w:id="69"/>
    <w:bookmarkStart w:id="70" w:name="caractère-fractionnaire."/>
    <w:p>
      <w:pPr>
        <w:pStyle w:val="Heading4"/>
      </w:pPr>
      <w:r>
        <w:t xml:space="preserve">Caractère fractionnaire.</w:t>
      </w:r>
    </w:p>
    <w:p>
      <w:pPr>
        <w:pStyle w:val="FirstParagraph"/>
      </w:pPr>
      <w:r>
        <w:t xml:space="preserve">Les meilleurs points trouvés ont</w:t>
      </w:r>
      <w:r>
        <w:t xml:space="preserve"> </w:t>
      </w:r>
      <m:oMath>
        <m:r>
          <m:t>λ</m:t>
        </m:r>
      </m:oMath>
      <w:r>
        <w:t xml:space="preserve"> </w:t>
      </w:r>
      <w:r>
        <w:t xml:space="preserve">et</w:t>
      </w:r>
      <w:r>
        <w:t xml:space="preserve"> </w:t>
      </w:r>
      <m:oMath>
        <m:r>
          <m:t>μ</m:t>
        </m:r>
      </m:oMath>
      <w:r>
        <w:t xml:space="preserve"> </w:t>
      </w:r>
      <w:r>
        <w:t xml:space="preserve">égaux ou très proches</w:t>
      </w:r>
      <w:r>
        <w:t xml:space="preserve"> </w:t>
      </w:r>
      <w:r>
        <w:t xml:space="preserve">de 1. Le correcteur qui en résulte est, en pratique, d’ordre entier. Rien dans</w:t>
      </w:r>
      <w:r>
        <w:t xml:space="preserve"> </w:t>
      </w:r>
      <w:r>
        <w:t xml:space="preserve">nos résultats n’attribue un gain à la fractionnalité ; l’étude ne comporte</w:t>
      </w:r>
      <w:r>
        <w:t xml:space="preserve"> </w:t>
      </w:r>
      <w:r>
        <w:t xml:space="preserve">pas le comparateur à réglage direct et budget égal qui permettrait d’en</w:t>
      </w:r>
      <w:r>
        <w:t xml:space="preserve"> </w:t>
      </w:r>
      <w:r>
        <w:t xml:space="preserve">juger.</w:t>
      </w:r>
    </w:p>
    <w:bookmarkEnd w:id="70"/>
    <w:bookmarkEnd w:id="71"/>
    <w:bookmarkStart w:id="72" w:name="sec:limites"/>
    <w:p>
      <w:pPr>
        <w:pStyle w:val="Heading1"/>
      </w:pPr>
      <w:r>
        <w:t xml:space="preserve">Limites et bilan de ce qui n’a pas été démontré</w:t>
      </w:r>
    </w:p>
    <w:p>
      <w:pPr>
        <w:numPr>
          <w:ilvl w:val="0"/>
          <w:numId w:val="1002"/>
        </w:numPr>
      </w:pPr>
      <w:r>
        <w:rPr>
          <w:bCs/>
          <w:b/>
        </w:rPr>
        <w:t xml:space="preserve">Modèle.</w:t>
      </w:r>
      <w:r>
        <w:t xml:space="preserve"> </w:t>
      </w:r>
      <w:r>
        <w:t xml:space="preserve">Tous les résultats portent sur un simulateur commuté</w:t>
      </w:r>
      <w:r>
        <w:t xml:space="preserve"> </w:t>
      </w:r>
      <w:r>
        <w:t xml:space="preserve">écrit en Python, non sur le modèle Simulink de référence. Les snubbers n’y</w:t>
      </w:r>
      <w:r>
        <w:t xml:space="preserve"> </w:t>
      </w:r>
      <w:r>
        <w:t xml:space="preserve">figurent pas, la diode suit une loi affine statique, et aucune validation</w:t>
      </w:r>
      <w:r>
        <w:t xml:space="preserve"> </w:t>
      </w:r>
      <w:r>
        <w:t xml:space="preserve">croisée avec Simulink n’a été faite.</w:t>
      </w:r>
    </w:p>
    <w:p>
      <w:pPr>
        <w:numPr>
          <w:ilvl w:val="0"/>
          <w:numId w:val="1002"/>
        </w:numPr>
      </w:pPr>
      <w:r>
        <w:rPr>
          <w:bCs/>
          <w:b/>
        </w:rPr>
        <w:t xml:space="preserve">Projection.</w:t>
      </w:r>
      <w:r>
        <w:t xml:space="preserve"> </w:t>
      </w:r>
      <w:r>
        <w:t xml:space="preserve">L’identité FO-LQI</w:t>
      </w:r>
      <w:r>
        <w:t xml:space="preserve"> </w:t>
      </w:r>
      <m:oMath>
        <m:r>
          <m:rPr>
            <m:sty m:val="p"/>
          </m:rPr>
          <m:t>→</m:t>
        </m:r>
      </m:oMath>
      <w:r>
        <w:t xml:space="preserve"> </w:t>
      </w:r>
      <w:r>
        <w:t xml:space="preserve">FO-PIDF n’est exacte qu’en</w:t>
      </w:r>
      <w:r>
        <w:t xml:space="preserve"> </w:t>
      </w:r>
      <w:r>
        <w:t xml:space="preserve">ordre entier, pôle exact, sur le plant nominal non saturé ; la projection du</w:t>
      </w:r>
      <w:r>
        <w:t xml:space="preserve"> </w:t>
      </w:r>
      <w:r>
        <w:t xml:space="preserve">pôle introduit à elle seule jusqu’à</w:t>
      </w:r>
      <w:r>
        <w:t xml:space="preserve"> </w:t>
      </w:r>
      <m:oMath>
        <m:r>
          <m:t>63</m:t>
        </m:r>
        <m:r>
          <m:t> </m:t>
        </m:r>
        <m:r>
          <m:rPr>
            <m:sty m:val="p"/>
          </m:rPr>
          <m:t>%</m:t>
        </m:r>
      </m:oMath>
      <w:r>
        <w:t xml:space="preserve"> </w:t>
      </w:r>
      <w:r>
        <w:t xml:space="preserve">d’erreur en</w:t>
      </w:r>
      <w:r>
        <w:t xml:space="preserve"> </w:t>
      </w:r>
      <w:r>
        <w:t xml:space="preserve">haut de bande.</w:t>
      </w:r>
    </w:p>
    <w:p>
      <w:pPr>
        <w:numPr>
          <w:ilvl w:val="0"/>
          <w:numId w:val="1002"/>
        </w:numPr>
      </w:pPr>
      <w:r>
        <w:rPr>
          <w:bCs/>
          <w:b/>
        </w:rPr>
        <w:t xml:space="preserve">Infaisabilité non prouvée.</w:t>
      </w:r>
      <w:r>
        <w:t xml:space="preserve"> </w:t>
      </w:r>
      <w:r>
        <w:t xml:space="preserve">Aucune cellule n’est robustement</w:t>
      </w:r>
      <w:r>
        <w:t xml:space="preserve"> </w:t>
      </w:r>
      <w:r>
        <w:t xml:space="preserve">faisable, mais cela ne prouve pas qu’aucun correcteur robuste n’existe :</w:t>
      </w:r>
      <w:r>
        <w:t xml:space="preserve"> </w:t>
      </w:r>
      <w:r>
        <w:t xml:space="preserve">les budgets sont finis, et l’ensemble d’incertitude est un choix déclaré.</w:t>
      </w:r>
    </w:p>
    <w:p>
      <w:pPr>
        <w:numPr>
          <w:ilvl w:val="0"/>
          <w:numId w:val="1002"/>
        </w:numPr>
      </w:pPr>
      <w:r>
        <w:rPr>
          <w:bCs/>
          <w:b/>
        </w:rPr>
        <w:t xml:space="preserve">Ensemble d’incertitude.</w:t>
      </w:r>
      <w:r>
        <w:t xml:space="preserve"> </w:t>
      </w:r>
      <w:r>
        <w:t xml:space="preserve">Les paramètres incertains et leurs</w:t>
      </w:r>
      <w:r>
        <w:t xml:space="preserve"> </w:t>
      </w:r>
      <w:r>
        <w:t xml:space="preserve">amplitudes ont été choisis par nous, le cadrage ne les précisant pas.</w:t>
      </w:r>
    </w:p>
    <w:p>
      <w:pPr>
        <w:numPr>
          <w:ilvl w:val="0"/>
          <w:numId w:val="1002"/>
        </w:numPr>
      </w:pPr>
      <w:r>
        <w:rPr>
          <w:bCs/>
          <w:b/>
        </w:rPr>
        <w:t xml:space="preserve">Test scellé.</w:t>
      </w:r>
      <w:r>
        <w:t xml:space="preserve"> </w:t>
      </w:r>
      <w:r>
        <w:t xml:space="preserve">Il n’a pas été joué : aucune affirmation de</w:t>
      </w:r>
      <w:r>
        <w:t xml:space="preserve"> </w:t>
      </w:r>
      <w:r>
        <w:t xml:space="preserve">robustesse n’est donc faite, même sous forme de proportion.</w:t>
      </w:r>
    </w:p>
    <w:p>
      <w:pPr>
        <w:numPr>
          <w:ilvl w:val="0"/>
          <w:numId w:val="1002"/>
        </w:numPr>
      </w:pPr>
      <w:r>
        <w:rPr>
          <w:bCs/>
          <w:b/>
        </w:rPr>
        <w:t xml:space="preserve">Comparateurs.</w:t>
      </w:r>
      <w:r>
        <w:t xml:space="preserve"> </w:t>
      </w:r>
      <w:r>
        <w:t xml:space="preserve">Les références de l’état de l’art et le</w:t>
      </w:r>
      <w:r>
        <w:t xml:space="preserve"> </w:t>
      </w:r>
      <w:r>
        <w:t xml:space="preserve">comparateur à réglage direct à budget égal ne sont pas implémentés ; aucune</w:t>
      </w:r>
      <w:r>
        <w:t xml:space="preserve"> </w:t>
      </w:r>
      <w:r>
        <w:t xml:space="preserve">supériorité ne peut être attribuée à la fractionnalité.</w:t>
      </w:r>
    </w:p>
    <w:p>
      <w:pPr>
        <w:numPr>
          <w:ilvl w:val="0"/>
          <w:numId w:val="1002"/>
        </w:numPr>
      </w:pPr>
      <w:r>
        <w:rPr>
          <w:bCs/>
          <w:b/>
        </w:rPr>
        <w:t xml:space="preserve">Diagnostics post hoc.</w:t>
      </w:r>
      <w:r>
        <w:t xml:space="preserve"> </w:t>
      </w:r>
      <w:r>
        <w:t xml:space="preserve">Le plancher de tension et les cycles</w:t>
      </w:r>
      <w:r>
        <w:t xml:space="preserve"> </w:t>
      </w:r>
      <w:r>
        <w:t xml:space="preserve">limites ont été identifiés après observation ; ils motivent une étude</w:t>
      </w:r>
      <w:r>
        <w:t xml:space="preserve"> </w:t>
      </w:r>
      <w:r>
        <w:t xml:space="preserve">future préenregistrée, mais ne doivent pas être lus comme des résultats</w:t>
      </w:r>
      <w:r>
        <w:t xml:space="preserve"> </w:t>
      </w:r>
      <w:r>
        <w:t xml:space="preserve">confirmatoires.</w:t>
      </w:r>
    </w:p>
    <w:p>
      <w:pPr>
        <w:numPr>
          <w:ilvl w:val="0"/>
          <w:numId w:val="1002"/>
        </w:numPr>
      </w:pPr>
      <w:r>
        <w:rPr>
          <w:bCs/>
          <w:b/>
        </w:rPr>
        <w:t xml:space="preserve">Métaheuristiques.</w:t>
      </w:r>
      <w:r>
        <w:t xml:space="preserve"> </w:t>
      </w:r>
      <w:r>
        <w:t xml:space="preserve">Les différences significatives mesurent la</w:t>
      </w:r>
      <w:r>
        <w:t xml:space="preserve"> </w:t>
      </w:r>
      <w:r>
        <w:t xml:space="preserve">proximité de la faisabilité, non une faisabilité atteinte, et leur</w:t>
      </w:r>
      <w:r>
        <w:t xml:space="preserve"> </w:t>
      </w:r>
      <w:r>
        <w:t xml:space="preserve">classement dépend du bras.</w:t>
      </w:r>
    </w:p>
    <w:bookmarkEnd w:id="72"/>
    <w:bookmarkStart w:id="73" w:name="reproductibilité"/>
    <w:p>
      <w:pPr>
        <w:pStyle w:val="Heading1"/>
      </w:pPr>
      <w:r>
        <w:t xml:space="preserve">Reproductibilité</w:t>
      </w:r>
    </w:p>
    <w:p>
      <w:pPr>
        <w:pStyle w:val="FirstParagraph"/>
      </w:pPr>
      <w:r>
        <w:t xml:space="preserve">Le code, le protocole figé (</w:t>
      </w:r>
      <w:r>
        <w:rPr>
          <w:rStyle w:val="VerbatimChar"/>
        </w:rPr>
        <w:t xml:space="preserve">protocol/protocol_v6_1.json</w:t>
      </w:r>
      <w:r>
        <w:t xml:space="preserve">,</w:t>
      </w:r>
      <w:r>
        <w:t xml:space="preserve"> </w:t>
      </w:r>
      <w:r>
        <w:t xml:space="preserve">empreinte</w:t>
      </w:r>
      <w:r>
        <w:t xml:space="preserve"> </w:t>
      </w:r>
      <w:r>
        <w:rPr>
          <w:rStyle w:val="VerbatimChar"/>
        </w:rPr>
        <w:t xml:space="preserve">bf8859a2465011bf</w:t>
      </w:r>
      <w:r>
        <w:t xml:space="preserve">), le journal par cellule, les graines et le</w:t>
      </w:r>
      <w:r>
        <w:t xml:space="preserve"> </w:t>
      </w:r>
      <w:r>
        <w:t xml:space="preserve">journal des écarts au cadrage (</w:t>
      </w:r>
      <w:r>
        <w:rPr>
          <w:rStyle w:val="VerbatimChar"/>
        </w:rPr>
        <w:t xml:space="preserve">docs/ECARTS.md</w:t>
      </w:r>
      <w:r>
        <w:t xml:space="preserve">) sont publiés avec</w:t>
      </w:r>
      <w:r>
        <w:t xml:space="preserve"> </w:t>
      </w:r>
      <w:r>
        <w:t xml:space="preserve">l’article. Le protocole v6.1 est chaîné à la version v6 et a été amendé avant</w:t>
      </w:r>
      <w:r>
        <w:t xml:space="preserve"> </w:t>
      </w:r>
      <w:r>
        <w:t xml:space="preserve">la première graine de campagne. Tous les nombres de cet article sont générés</w:t>
      </w:r>
      <w:r>
        <w:t xml:space="preserve"> </w:t>
      </w:r>
      <w:r>
        <w:t xml:space="preserve">par</w:t>
      </w:r>
      <w:r>
        <w:t xml:space="preserve"> </w:t>
      </w:r>
      <w:r>
        <w:rPr>
          <w:rStyle w:val="VerbatimChar"/>
        </w:rPr>
        <w:t xml:space="preserve">scripts/make_numbers.py</w:t>
      </w:r>
      <w:r>
        <w:t xml:space="preserve"> </w:t>
      </w:r>
      <w:r>
        <w:t xml:space="preserve">à partir des résultats JSON.</w:t>
      </w:r>
    </w:p>
    <w:bookmarkEnd w:id="7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2" Target="media/rId42.png" /><Relationship Type="http://schemas.openxmlformats.org/officeDocument/2006/relationships/image" Id="rId51" Target="media/rId51.png" /><Relationship Type="http://schemas.openxmlformats.org/officeDocument/2006/relationships/image" Id="rId54" Target="media/rId54.png" /><Relationship Type="http://schemas.openxmlformats.org/officeDocument/2006/relationships/image" Id="rId46" Target="media/rId46.png" /><Relationship Type="http://schemas.openxmlformats.org/officeDocument/2006/relationships/image" Id="rId60" Target="media/rId6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 de saturation des bornes de paramétrisation : un diagnostic de méthode pour la conversion FO-LQI \to FO-PIDF d’un Buck non idéal de 48 V</dc:title>
  <dc:creator>Auteur(s) anonyme(s)</dc:creator>
  <cp:keywords/>
  <dcterms:created xsi:type="dcterms:W3CDTF">2026-09-25T07:04:45Z</dcterms:created>
  <dcterms:modified xsi:type="dcterms:W3CDTF">2026-09-25T07:04:45Z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Une campagne antérieure d’optimisation FO-LQI \to FO-PIDF pour un convertisseur Buck non idéal de 48 V avait consommé plus de 1800 évaluations sans atteindre la faisabilité robuste, et attribuait cet échec à l’écrêtage du gain proportionnel sur une borne de paramétrisation. Nous proposons un audit de saturation des bornes, qui distingue saturations structurelles et pathologiques, et nous l’appliquons à une chaîne reconstruite dont la projection reproduit la proposition d’identité exacte à 5{,}4\times 10^{-16} près. Sur 4096 tirages de la boîte de décision, \log_{10}k_p ne touche jamais sa borne : l’écrêtage n’explique pas l’échec. Une campagne confirmatoire préenregistrée (protocole figé par empreintes, trois bras, six métaheuristiques, trente graines appariées, 540 cellules) sur un simulateur commuté qui reproduit la conduction discontinue ne produit aucun correcteur robustement faisable : 0/30 graines par méthode et par bras, intervalle de Wilson [0;11,4 %]. La paramétrisation conforme au cadrage n’atteint même pas la faisabilité nominale ; libérer la pondération de consigne b la rend accessible dans 159 cellules sur 180, sans robustesse. Un diagnostic physique identifie un verrou indépendant du correcteur : à rapport cyclique minimal, le convertisseur en conduction discontinue se stabilise sous le seuil de tension minimale dans 13 des 17 cas d’incertitude. Nous montrons enfin que des correcteurs faisables au sens des six contraintes peuvent entretenir un cycle limite que ces contraintes ne voient pas. Ces résultats portent sur un modèle simulé et un ensemble fini de cas ; ils ne constituent ni un certificat de robustesse ni une preuve d’infaisabilité.</vt:lpwstr>
  </property>
  <property fmtid="{D5CDD505-2E9C-101B-9397-08002B2CF9AE}" pid="3" name="date">
    <vt:lpwstr/>
  </property>
</Properties>
</file>