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sz w:val="44"/>
        </w:rPr>
        <w:t>Deploying into a locked-down private VPC</w:t>
      </w:r>
    </w:p>
    <w:p>
      <w:r>
        <w:rPr>
          <w:b/>
        </w:rPr>
        <w:t>For:</w:t>
      </w:r>
      <w:r>
        <w:t xml:space="preserve"> whoever runs the deployment, and whoever has to approve what it does to the account.</w:t>
      </w:r>
    </w:p>
    <w:p>
      <w:r>
        <w:t>This is the second of two deployment flows the same codebase supports.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DEEAF6"/>
          </w:tcPr>
          <w:p>
            <w:pPr>
              <w:spacing w:after="40" w:before="40"/>
            </w:pPr>
            <w:r/>
            <w:r>
              <w:rPr>
                <w:b/>
                <w:sz w:val="19"/>
              </w:rPr>
              <w:t>Flow</w:t>
            </w:r>
          </w:p>
        </w:tc>
        <w:tc>
          <w:tcPr>
            <w:tcW w:type="dxa" w:w="3120"/>
            <w:shd w:val="clear" w:fill="DEEAF6"/>
          </w:tcPr>
          <w:p>
            <w:pPr>
              <w:spacing w:after="40" w:before="40"/>
            </w:pPr>
            <w:r/>
            <w:r>
              <w:rPr>
                <w:b/>
                <w:sz w:val="19"/>
              </w:rPr>
              <w:t>Command</w:t>
            </w:r>
          </w:p>
        </w:tc>
        <w:tc>
          <w:tcPr>
            <w:tcW w:type="dxa" w:w="3120"/>
            <w:shd w:val="clear" w:fill="DEEAF6"/>
          </w:tcPr>
          <w:p>
            <w:pPr>
              <w:spacing w:after="40" w:before="40"/>
            </w:pPr>
            <w:r/>
            <w:r>
              <w:rPr>
                <w:b/>
                <w:sz w:val="19"/>
              </w:rPr>
              <w:t>What it creates</w:t>
            </w:r>
          </w:p>
        </w:tc>
      </w:tr>
      <w:tr>
        <w:tc>
          <w:tcPr>
            <w:tcW w:type="dxa" w:w="3120"/>
          </w:tcPr>
          <w:p>
            <w:pPr>
              <w:spacing w:after="40" w:before="40"/>
            </w:pPr>
            <w:r>
              <w:rPr>
                <w:sz w:val="19"/>
              </w:rPr>
            </w:r>
            <w:r>
              <w:rPr>
                <w:sz w:val="19"/>
              </w:rPr>
              <w:t>Standard</w:t>
            </w:r>
          </w:p>
        </w:tc>
        <w:tc>
          <w:tcPr>
            <w:tcW w:type="dxa" w:w="3120"/>
          </w:tcPr>
          <w:p>
            <w:pPr>
              <w:spacing w:after="40" w:before="40"/>
            </w:pPr>
            <w:r>
              <w:rPr>
                <w:sz w:val="19"/>
              </w:rPr>
            </w:r>
            <w:r>
              <w:rPr>
                <w:rFonts w:ascii="Consolas" w:hAnsi="Consolas"/>
                <w:color w:val="1F4E79"/>
                <w:sz w:val="19"/>
              </w:rPr>
              <w:t>cdk deploy --all</w:t>
            </w:r>
          </w:p>
        </w:tc>
        <w:tc>
          <w:tcPr>
            <w:tcW w:type="dxa" w:w="3120"/>
          </w:tcPr>
          <w:p>
            <w:pPr>
              <w:spacing w:after="40" w:before="40"/>
            </w:pPr>
            <w:r>
              <w:rPr>
                <w:sz w:val="19"/>
              </w:rPr>
            </w:r>
            <w:r>
              <w:rPr>
                <w:sz w:val="19"/>
              </w:rPr>
              <w:t>everything, including the VPC, NAT, 22 endpoints, 28 security groups and 69 IAM roles</w:t>
            </w:r>
          </w:p>
        </w:tc>
      </w:tr>
      <w:tr>
        <w:tc>
          <w:tcPr>
            <w:tcW w:type="dxa" w:w="3120"/>
          </w:tcPr>
          <w:p>
            <w:pPr>
              <w:spacing w:after="40" w:before="40"/>
            </w:pPr>
            <w:r>
              <w:rPr>
                <w:sz w:val="19"/>
              </w:rPr>
            </w:r>
            <w:r>
              <w:rPr>
                <w:b/>
                <w:sz w:val="19"/>
              </w:rPr>
              <w:t>Private VPC</w:t>
            </w:r>
          </w:p>
        </w:tc>
        <w:tc>
          <w:tcPr>
            <w:tcW w:type="dxa" w:w="3120"/>
          </w:tcPr>
          <w:p>
            <w:pPr>
              <w:spacing w:after="40" w:before="40"/>
            </w:pPr>
            <w:r>
              <w:rPr>
                <w:sz w:val="19"/>
              </w:rPr>
            </w:r>
            <w:r>
              <w:rPr>
                <w:rFonts w:ascii="Consolas" w:hAnsi="Consolas"/>
                <w:color w:val="1F4E79"/>
                <w:sz w:val="19"/>
              </w:rPr>
              <w:t>cdk deploy --all -c vpc_id=vpc-…</w:t>
            </w:r>
          </w:p>
        </w:tc>
        <w:tc>
          <w:tcPr>
            <w:tcW w:type="dxa" w:w="3120"/>
          </w:tcPr>
          <w:p>
            <w:pPr>
              <w:spacing w:after="40" w:before="40"/>
            </w:pPr>
            <w:r>
              <w:rPr>
                <w:sz w:val="19"/>
              </w:rPr>
            </w:r>
            <w:r>
              <w:rPr>
                <w:b/>
                <w:sz w:val="19"/>
              </w:rPr>
              <w:t>only application resources</w:t>
            </w:r>
            <w:r>
              <w:rPr>
                <w:sz w:val="19"/>
              </w:rPr>
              <w:t xml:space="preserve"> — 352 of them, and </w:t>
            </w:r>
            <w:r>
              <w:rPr>
                <w:b/>
                <w:sz w:val="19"/>
              </w:rPr>
              <w:t>zero</w:t>
            </w:r>
            <w:r>
              <w:rPr>
                <w:sz w:val="19"/>
              </w:rPr>
              <w:t xml:space="preserve"> IAM roles</w:t>
            </w:r>
          </w:p>
        </w:tc>
      </w:tr>
    </w:tbl>
    <w:p>
      <w:pPr>
        <w:spacing w:after="80"/>
      </w:pPr>
    </w:p>
    <w:p>
      <w:r>
        <w:t xml:space="preserve">The switch is the </w:t>
      </w:r>
      <w:r>
        <w:rPr>
          <w:rFonts w:ascii="Consolas" w:hAnsi="Consolas"/>
          <w:color w:val="1F4E79"/>
          <w:sz w:val="18"/>
        </w:rPr>
        <w:t>vpc_id</w:t>
      </w:r>
      <w:r>
        <w:t xml:space="preserve"> context value. Nothing else changes: no separate branch, no build flag, no second copy of the code.</w:t>
      </w:r>
    </w:p>
    <w:p>
      <w:pPr>
        <w:pBdr>
          <w:bottom w:val="single" w:sz="6" w:color="BFBFBF"/>
        </w:pBdr>
      </w:pPr>
    </w:p>
    <w:p>
      <w:pPr>
        <w:pStyle w:val="Heading1"/>
        <w:spacing w:before="320"/>
      </w:pPr>
      <w:r>
        <w:rPr>
          <w:color w:val="1F4E79"/>
          <w:sz w:val="30"/>
        </w:rPr>
        <w:t>Why this flow exists</w:t>
      </w:r>
    </w:p>
    <w:p>
      <w:r>
        <w:t>A locked-down AWS account denies the deploying principal three things:</w:t>
      </w:r>
    </w:p>
    <w:p>
      <w:pPr>
        <w:keepNext/>
        <w:keepLines/>
        <w:spacing w:before="120" w:after="0"/>
        <w:ind w:left="360"/>
        <w:shd w:val="clear" w:fill="F2F2F2"/>
      </w:pPr>
      <w:r>
        <w:rPr>
          <w:rFonts w:ascii="Consolas" w:hAnsi="Consolas"/>
          <w:color w:val="1A1A1A"/>
          <w:sz w:val="17"/>
        </w:rPr>
        <w:t>iam:CreateRole               security owns identity</w:t>
      </w:r>
    </w:p>
    <w:p>
      <w:pPr>
        <w:keepNext/>
        <w:keepLines/>
        <w:spacing w:before="0" w:after="0"/>
        <w:ind w:left="360"/>
        <w:shd w:val="clear" w:fill="F2F2F2"/>
      </w:pPr>
      <w:r>
        <w:rPr>
          <w:rFonts w:ascii="Consolas" w:hAnsi="Consolas"/>
          <w:color w:val="1A1A1A"/>
          <w:sz w:val="17"/>
        </w:rPr>
        <w:t>ec2:CreateSecurityGroup      the network team owns the network</w:t>
      </w:r>
    </w:p>
    <w:p>
      <w:pPr>
        <w:keepLines/>
        <w:spacing w:before="0" w:after="120"/>
        <w:ind w:left="360"/>
        <w:shd w:val="clear" w:fill="F2F2F2"/>
      </w:pPr>
      <w:r>
        <w:rPr>
          <w:rFonts w:ascii="Consolas" w:hAnsi="Consolas"/>
          <w:color w:val="1A1A1A"/>
          <w:sz w:val="17"/>
        </w:rPr>
        <w:t>ec2:CreateVpcEndpoint        likewise</w:t>
      </w:r>
    </w:p>
    <w:p>
      <w:r>
        <w:t>Those are reasonable restrictions, and the standard flow cannot run under them — it creates 69 roles and 28 security groups.</w:t>
      </w:r>
    </w:p>
    <w:p>
      <w:r>
        <w:t>So in this flow someone with the right permissions creates those resources</w:t>
      </w:r>
    </w:p>
    <w:p>
      <w:r>
        <w:rPr>
          <w:b/>
        </w:rPr>
        <w:t>in advance</w:t>
      </w:r>
      <w:r>
        <w:t xml:space="preserve">, and the deployment </w:t>
      </w:r>
      <w:r>
        <w:rPr>
          <w:b/>
        </w:rPr>
        <w:t>imports</w:t>
      </w:r>
      <w:r>
        <w:t xml:space="preserve"> them by name. The division is:</w:t>
      </w:r>
    </w:p>
    <w:p>
      <w:pPr>
        <w:keepNext/>
        <w:keepLines/>
        <w:spacing w:before="120" w:after="0"/>
        <w:ind w:left="360"/>
        <w:shd w:val="clear" w:fill="F2F2F2"/>
      </w:pPr>
      <w:r>
        <w:rPr>
          <w:rFonts w:ascii="Consolas" w:hAnsi="Consolas"/>
          <w:color w:val="1A1A1A"/>
          <w:sz w:val="17"/>
        </w:rPr>
        <w:t>the account owner creates   identity and network   (steps 1-5)</w:t>
      </w:r>
    </w:p>
    <w:p>
      <w:pPr>
        <w:keepLines/>
        <w:spacing w:before="0" w:after="120"/>
        <w:ind w:left="360"/>
        <w:shd w:val="clear" w:fill="F2F2F2"/>
      </w:pPr>
      <w:r>
        <w:rPr>
          <w:rFonts w:ascii="Consolas" w:hAnsi="Consolas"/>
          <w:color w:val="1A1A1A"/>
          <w:sz w:val="17"/>
        </w:rPr>
        <w:t>the deployment creates      the application        (step 7)</w:t>
      </w:r>
    </w:p>
    <w:p>
      <w:pPr>
        <w:pStyle w:val="Heading2"/>
        <w:spacing w:before="200"/>
      </w:pPr>
      <w:r>
        <w:rPr>
          <w:color w:val="1F4E79"/>
          <w:sz w:val="24"/>
        </w:rPr>
        <w:t>The failure mode this design has to defend against</w:t>
      </w:r>
    </w:p>
    <w:p>
      <w:r>
        <w:t xml:space="preserve">CDK </w:t>
      </w:r>
      <w:r>
        <w:rPr>
          <w:b/>
        </w:rPr>
        <w:t>silently drops</w:t>
      </w:r>
      <w:r>
        <w:t xml:space="preserve"> permission grants against an imported role. No warning, no synth error:</w:t>
      </w:r>
    </w:p>
    <w:p>
      <w:pPr>
        <w:keepNext/>
        <w:keepLines/>
        <w:spacing w:before="120" w:after="0"/>
        <w:ind w:left="360"/>
        <w:shd w:val="clear" w:fill="F2F2F2"/>
      </w:pPr>
      <w:r>
        <w:rPr>
          <w:rFonts w:ascii="Consolas" w:hAnsi="Consolas"/>
          <w:color w:val="1A1A1A"/>
          <w:sz w:val="17"/>
        </w:rPr>
        <w:t>const role = iam.Role.fromRoleArn(this, "R", "arn:…:role/coa-dev-authorizer-fn-role");</w:t>
      </w:r>
    </w:p>
    <w:p>
      <w:pPr>
        <w:keepLines/>
        <w:spacing w:before="0" w:after="120"/>
        <w:ind w:left="360"/>
        <w:shd w:val="clear" w:fill="F2F2F2"/>
      </w:pPr>
      <w:r>
        <w:rPr>
          <w:rFonts w:ascii="Consolas" w:hAnsi="Consolas"/>
          <w:color w:val="1A1A1A"/>
          <w:sz w:val="17"/>
        </w:rPr>
        <w:t>role.addToPrincipalPolicy(someStatement);   // discarded, no error</w:t>
      </w:r>
    </w:p>
    <w:p>
      <w:r>
        <w:t xml:space="preserve">That is correct behaviour — the operator attached those permissions when they created the role — but only if they attached </w:t>
      </w:r>
      <w:r>
        <w:rPr>
          <w:b/>
        </w:rPr>
        <w:t>all</w:t>
      </w:r>
      <w:r>
        <w:t xml:space="preserve"> of them. If one is missing:</w:t>
      </w:r>
    </w:p>
    <w:p>
      <w:pPr>
        <w:pStyle w:val="ListBullet"/>
        <w:spacing w:after="60"/>
      </w:pPr>
      <w:r>
        <w:t>the synth succeeds</w:t>
      </w:r>
    </w:p>
    <w:p>
      <w:pPr>
        <w:pStyle w:val="ListBullet"/>
        <w:spacing w:after="60"/>
      </w:pPr>
      <w:r>
        <w:t>the deploy succeeds</w:t>
      </w:r>
    </w:p>
    <w:p>
      <w:pPr>
        <w:pStyle w:val="ListBullet"/>
        <w:spacing w:after="60"/>
      </w:pPr>
      <w:r>
        <w:t>one component fails at runtime with access-denied, and nothing in the</w:t>
      </w:r>
    </w:p>
    <w:p>
      <w:r>
        <w:t>template says which or why</w:t>
      </w:r>
    </w:p>
    <w:p>
      <w:r>
        <w:t xml:space="preserve">The same is true of a role whose </w:t>
      </w:r>
      <w:r>
        <w:rPr>
          <w:b/>
        </w:rPr>
        <w:t>name</w:t>
      </w:r>
      <w:r>
        <w:t xml:space="preserve"> does not match. This is why steps 4 and 5 are exacting about names and statements, and why they are worth double-checking before deploying rather than after.</w:t>
      </w:r>
    </w:p>
    <w:p>
      <w:pPr>
        <w:pBdr>
          <w:bottom w:val="single" w:sz="6" w:color="BFBFBF"/>
        </w:pBdr>
      </w:pPr>
    </w:p>
    <w:p>
      <w:pPr>
        <w:pStyle w:val="Heading1"/>
        <w:spacing w:before="320"/>
      </w:pPr>
      <w:r>
        <w:rPr>
          <w:color w:val="1F4E79"/>
          <w:sz w:val="30"/>
        </w:rPr>
        <w:t>What you need before you start</w:t>
      </w:r>
    </w:p>
    <w:tbl>
      <w:tblPr>
        <w:tblStyle w:val="TableGrid"/>
        <w:tblW w:type="auto" w:w="0"/>
        <w:jc w:val="left"/>
        <w:tblLook w:firstColumn="1" w:firstRow="1" w:lastColumn="0" w:lastRow="0" w:noHBand="0" w:noVBand="1" w:val="04A0"/>
      </w:tblPr>
      <w:tblGrid>
        <w:gridCol w:w="4680"/>
        <w:gridCol w:w="4680"/>
      </w:tblGrid>
      <w:tr>
        <w:tc>
          <w:tcPr>
            <w:tcW w:type="dxa" w:w="4680"/>
            <w:shd w:val="clear" w:fill="DEEAF6"/>
          </w:tcPr>
          <w:p>
            <w:pPr>
              <w:spacing w:after="40" w:before="40"/>
            </w:pPr>
            <w:r/>
            <w:r>
              <w:rPr>
                <w:b/>
                <w:sz w:val="19"/>
              </w:rPr>
            </w:r>
          </w:p>
        </w:tc>
        <w:tc>
          <w:tcPr>
            <w:tcW w:type="dxa" w:w="4680"/>
            <w:shd w:val="clear" w:fill="DEEAF6"/>
          </w:tcPr>
          <w:p>
            <w:pPr>
              <w:spacing w:after="40" w:before="40"/>
            </w:pPr>
            <w:r/>
            <w:r>
              <w:rPr>
                <w:b/>
                <w:sz w:val="19"/>
              </w:rPr>
            </w:r>
          </w:p>
        </w:tc>
      </w:tr>
      <w:tr>
        <w:tc>
          <w:tcPr>
            <w:tcW w:type="dxa" w:w="4680"/>
          </w:tcPr>
          <w:p>
            <w:pPr>
              <w:spacing w:after="40" w:before="40"/>
            </w:pPr>
            <w:r>
              <w:rPr>
                <w:sz w:val="19"/>
              </w:rPr>
            </w:r>
            <w:r>
              <w:rPr>
                <w:sz w:val="19"/>
              </w:rPr>
              <w:t>An AWS account</w:t>
            </w:r>
          </w:p>
        </w:tc>
        <w:tc>
          <w:tcPr>
            <w:tcW w:type="dxa" w:w="4680"/>
          </w:tcPr>
          <w:p>
            <w:pPr>
              <w:spacing w:after="40" w:before="40"/>
            </w:pPr>
            <w:r>
              <w:rPr>
                <w:sz w:val="19"/>
              </w:rPr>
            </w:r>
            <w:r>
              <w:rPr>
                <w:sz w:val="19"/>
              </w:rPr>
              <w:t>with the VPC, IAM and CloudFormation rights to do steps 1–5</w:t>
            </w:r>
          </w:p>
        </w:tc>
      </w:tr>
      <w:tr>
        <w:tc>
          <w:tcPr>
            <w:tcW w:type="dxa" w:w="4680"/>
          </w:tcPr>
          <w:p>
            <w:pPr>
              <w:spacing w:after="40" w:before="40"/>
            </w:pPr>
            <w:r>
              <w:rPr>
                <w:sz w:val="19"/>
              </w:rPr>
            </w:r>
            <w:r>
              <w:rPr>
                <w:sz w:val="19"/>
              </w:rPr>
              <w:t>A region</w:t>
            </w:r>
          </w:p>
        </w:tc>
        <w:tc>
          <w:tcPr>
            <w:tcW w:type="dxa" w:w="4680"/>
          </w:tcPr>
          <w:p>
            <w:pPr>
              <w:spacing w:after="40" w:before="40"/>
            </w:pPr>
            <w:r>
              <w:rPr>
                <w:sz w:val="19"/>
              </w:rPr>
            </w:r>
            <w:r>
              <w:rPr>
                <w:rFonts w:ascii="Consolas" w:hAnsi="Consolas"/>
                <w:color w:val="1F4E79"/>
                <w:sz w:val="19"/>
              </w:rPr>
              <w:t>us-east-1</w:t>
            </w:r>
            <w:r>
              <w:rPr>
                <w:sz w:val="19"/>
              </w:rPr>
              <w:t xml:space="preserve"> unless told otherwise — see the AZ constraint in step 1</w:t>
            </w:r>
          </w:p>
        </w:tc>
      </w:tr>
      <w:tr>
        <w:tc>
          <w:tcPr>
            <w:tcW w:type="dxa" w:w="4680"/>
          </w:tcPr>
          <w:p>
            <w:pPr>
              <w:spacing w:after="40" w:before="40"/>
            </w:pPr>
            <w:r>
              <w:rPr>
                <w:sz w:val="19"/>
              </w:rPr>
            </w:r>
            <w:r>
              <w:rPr>
                <w:sz w:val="19"/>
              </w:rPr>
              <w:t>This repository</w:t>
            </w:r>
          </w:p>
        </w:tc>
        <w:tc>
          <w:tcPr>
            <w:tcW w:type="dxa" w:w="4680"/>
          </w:tcPr>
          <w:p>
            <w:pPr>
              <w:spacing w:after="40" w:before="40"/>
            </w:pPr>
            <w:r>
              <w:rPr>
                <w:sz w:val="19"/>
              </w:rPr>
            </w:r>
            <w:r>
              <w:rPr>
                <w:sz w:val="19"/>
              </w:rPr>
              <w:t xml:space="preserve">the templates and the IAM package live in </w:t>
            </w:r>
            <w:r>
              <w:rPr>
                <w:rFonts w:ascii="Consolas" w:hAnsi="Consolas"/>
                <w:color w:val="1F4E79"/>
                <w:sz w:val="19"/>
              </w:rPr>
              <w:t>infra/pvt_vpc/</w:t>
            </w:r>
          </w:p>
        </w:tc>
      </w:tr>
      <w:tr>
        <w:tc>
          <w:tcPr>
            <w:tcW w:type="dxa" w:w="4680"/>
          </w:tcPr>
          <w:p>
            <w:pPr>
              <w:spacing w:after="40" w:before="40"/>
            </w:pPr>
            <w:r>
              <w:rPr>
                <w:sz w:val="19"/>
              </w:rPr>
            </w:r>
            <w:r>
              <w:rPr>
                <w:sz w:val="19"/>
              </w:rPr>
              <w:t>The AWS CLI or console</w:t>
            </w:r>
          </w:p>
        </w:tc>
        <w:tc>
          <w:tcPr>
            <w:tcW w:type="dxa" w:w="4680"/>
          </w:tcPr>
          <w:p>
            <w:pPr>
              <w:spacing w:after="40" w:before="40"/>
            </w:pPr>
            <w:r>
              <w:rPr>
                <w:sz w:val="19"/>
              </w:rPr>
            </w:r>
            <w:r>
              <w:rPr>
                <w:sz w:val="19"/>
              </w:rPr>
              <w:t>every step works either way</w:t>
            </w:r>
          </w:p>
        </w:tc>
      </w:tr>
    </w:tbl>
    <w:p>
      <w:pPr>
        <w:spacing w:after="80"/>
      </w:pPr>
    </w:p>
    <w:p>
      <w:r>
        <w:t xml:space="preserve">Steps 1–5 are done </w:t>
      </w:r>
      <w:r>
        <w:rPr>
          <w:b/>
        </w:rPr>
        <w:t>once per account</w:t>
      </w:r>
      <w:r>
        <w:t>. Step 7 can be repeated freely.</w:t>
      </w:r>
    </w:p>
    <w:p>
      <w:pPr>
        <w:pBdr>
          <w:bottom w:val="single" w:sz="6" w:color="BFBFBF"/>
        </w:pBdr>
      </w:pPr>
    </w:p>
    <w:p>
      <w:pPr>
        <w:pStyle w:val="Heading1"/>
        <w:spacing w:before="320"/>
      </w:pPr>
      <w:r>
        <w:rPr>
          <w:color w:val="1F4E79"/>
          <w:sz w:val="30"/>
        </w:rPr>
        <w:t>Step 1 — The VPC, NAT and subnets</w:t>
      </w:r>
    </w:p>
    <w:p>
      <w:r>
        <w:rPr>
          <w:b/>
        </w:rPr>
        <w:t>Who:</w:t>
      </w:r>
      <w:r>
        <w:t xml:space="preserve"> the account owner / network team.</w:t>
      </w:r>
    </w:p>
    <w:p>
      <w:r>
        <w:rPr>
          <w:b/>
        </w:rPr>
        <w:t>Why:</w:t>
      </w:r>
      <w:r>
        <w:t xml:space="preserve"> everything else lives inside it, and the deployment never creates one.</w:t>
      </w:r>
    </w:p>
    <w:p>
      <w:r>
        <w:rPr>
          <w:b/>
        </w:rPr>
        <w:t>Console:</w:t>
      </w:r>
      <w:r>
        <w:t xml:space="preserve"> VPC → *Create VPC* → </w:t>
      </w:r>
      <w:r>
        <w:rPr>
          <w:b/>
        </w:rPr>
        <w:t>VPC and more</w:t>
      </w:r>
    </w:p>
    <w:tbl>
      <w:tblPr>
        <w:tblStyle w:val="TableGrid"/>
        <w:tblW w:type="auto" w:w="0"/>
        <w:jc w:val="left"/>
        <w:tblLook w:firstColumn="1" w:firstRow="1" w:lastColumn="0" w:lastRow="0" w:noHBand="0" w:noVBand="1" w:val="04A0"/>
      </w:tblPr>
      <w:tblGrid>
        <w:gridCol w:w="4680"/>
        <w:gridCol w:w="4680"/>
      </w:tblGrid>
      <w:tr>
        <w:tc>
          <w:tcPr>
            <w:tcW w:type="dxa" w:w="4680"/>
            <w:shd w:val="clear" w:fill="DEEAF6"/>
          </w:tcPr>
          <w:p>
            <w:pPr>
              <w:spacing w:after="40" w:before="40"/>
            </w:pPr>
            <w:r/>
            <w:r>
              <w:rPr>
                <w:b/>
                <w:sz w:val="19"/>
              </w:rPr>
              <w:t>Field</w:t>
            </w:r>
          </w:p>
        </w:tc>
        <w:tc>
          <w:tcPr>
            <w:tcW w:type="dxa" w:w="4680"/>
            <w:shd w:val="clear" w:fill="DEEAF6"/>
          </w:tcPr>
          <w:p>
            <w:pPr>
              <w:spacing w:after="40" w:before="40"/>
            </w:pPr>
            <w:r/>
            <w:r>
              <w:rPr>
                <w:b/>
                <w:sz w:val="19"/>
              </w:rPr>
              <w:t>Value</w:t>
            </w:r>
          </w:p>
        </w:tc>
      </w:tr>
      <w:tr>
        <w:tc>
          <w:tcPr>
            <w:tcW w:type="dxa" w:w="4680"/>
          </w:tcPr>
          <w:p>
            <w:pPr>
              <w:spacing w:after="40" w:before="40"/>
            </w:pPr>
            <w:r>
              <w:rPr>
                <w:sz w:val="19"/>
              </w:rPr>
            </w:r>
            <w:r>
              <w:rPr>
                <w:sz w:val="19"/>
              </w:rPr>
              <w:t>Name tag</w:t>
            </w:r>
          </w:p>
        </w:tc>
        <w:tc>
          <w:tcPr>
            <w:tcW w:type="dxa" w:w="4680"/>
          </w:tcPr>
          <w:p>
            <w:pPr>
              <w:spacing w:after="40" w:before="40"/>
            </w:pPr>
            <w:r>
              <w:rPr>
                <w:sz w:val="19"/>
              </w:rPr>
            </w:r>
            <w:r>
              <w:rPr>
                <w:rFonts w:ascii="Consolas" w:hAnsi="Consolas"/>
                <w:color w:val="1F4E79"/>
                <w:sz w:val="19"/>
              </w:rPr>
              <w:t>coa-dev-vpc</w:t>
            </w:r>
          </w:p>
        </w:tc>
      </w:tr>
      <w:tr>
        <w:tc>
          <w:tcPr>
            <w:tcW w:type="dxa" w:w="4680"/>
          </w:tcPr>
          <w:p>
            <w:pPr>
              <w:spacing w:after="40" w:before="40"/>
            </w:pPr>
            <w:r>
              <w:rPr>
                <w:sz w:val="19"/>
              </w:rPr>
            </w:r>
            <w:r>
              <w:rPr>
                <w:sz w:val="19"/>
              </w:rPr>
              <w:t>IPv4 CIDR</w:t>
            </w:r>
          </w:p>
        </w:tc>
        <w:tc>
          <w:tcPr>
            <w:tcW w:type="dxa" w:w="4680"/>
          </w:tcPr>
          <w:p>
            <w:pPr>
              <w:spacing w:after="40" w:before="40"/>
            </w:pPr>
            <w:r>
              <w:rPr>
                <w:sz w:val="19"/>
              </w:rPr>
            </w:r>
            <w:r>
              <w:rPr>
                <w:rFonts w:ascii="Consolas" w:hAnsi="Consolas"/>
                <w:color w:val="1F4E79"/>
                <w:sz w:val="19"/>
              </w:rPr>
              <w:t>10.0.0.0/16</w:t>
            </w:r>
          </w:p>
        </w:tc>
      </w:tr>
      <w:tr>
        <w:tc>
          <w:tcPr>
            <w:tcW w:type="dxa" w:w="4680"/>
          </w:tcPr>
          <w:p>
            <w:pPr>
              <w:spacing w:after="40" w:before="40"/>
            </w:pPr>
            <w:r>
              <w:rPr>
                <w:sz w:val="19"/>
              </w:rPr>
            </w:r>
            <w:r>
              <w:rPr>
                <w:sz w:val="19"/>
              </w:rPr>
              <w:t>Availability Zones</w:t>
            </w:r>
          </w:p>
        </w:tc>
        <w:tc>
          <w:tcPr>
            <w:tcW w:type="dxa" w:w="4680"/>
          </w:tcPr>
          <w:p>
            <w:pPr>
              <w:spacing w:after="40" w:before="40"/>
            </w:pPr>
            <w:r>
              <w:rPr>
                <w:sz w:val="19"/>
              </w:rPr>
            </w:r>
            <w:r>
              <w:rPr>
                <w:b/>
                <w:sz w:val="19"/>
              </w:rPr>
              <w:t>2</w:t>
            </w:r>
            <w:r>
              <w:rPr>
                <w:sz w:val="19"/>
              </w:rPr>
              <w:t xml:space="preserve"> → *Customize* → </w:t>
            </w:r>
            <w:r>
              <w:rPr>
                <w:b/>
                <w:sz w:val="19"/>
              </w:rPr>
              <w:t>us-east-1b</w:t>
            </w:r>
            <w:r>
              <w:rPr>
                <w:sz w:val="19"/>
              </w:rPr>
              <w:t xml:space="preserve">, </w:t>
            </w:r>
            <w:r>
              <w:rPr>
                <w:b/>
                <w:sz w:val="19"/>
              </w:rPr>
              <w:t>us-east-1c</w:t>
            </w:r>
          </w:p>
        </w:tc>
      </w:tr>
      <w:tr>
        <w:tc>
          <w:tcPr>
            <w:tcW w:type="dxa" w:w="4680"/>
          </w:tcPr>
          <w:p>
            <w:pPr>
              <w:spacing w:after="40" w:before="40"/>
            </w:pPr>
            <w:r>
              <w:rPr>
                <w:sz w:val="19"/>
              </w:rPr>
            </w:r>
            <w:r>
              <w:rPr>
                <w:sz w:val="19"/>
              </w:rPr>
              <w:t>Public subnets</w:t>
            </w:r>
          </w:p>
        </w:tc>
        <w:tc>
          <w:tcPr>
            <w:tcW w:type="dxa" w:w="4680"/>
          </w:tcPr>
          <w:p>
            <w:pPr>
              <w:spacing w:after="40" w:before="40"/>
            </w:pPr>
            <w:r>
              <w:rPr>
                <w:sz w:val="19"/>
              </w:rPr>
            </w:r>
            <w:r>
              <w:rPr>
                <w:sz w:val="19"/>
              </w:rPr>
              <w:t>2</w:t>
            </w:r>
          </w:p>
        </w:tc>
      </w:tr>
      <w:tr>
        <w:tc>
          <w:tcPr>
            <w:tcW w:type="dxa" w:w="4680"/>
          </w:tcPr>
          <w:p>
            <w:pPr>
              <w:spacing w:after="40" w:before="40"/>
            </w:pPr>
            <w:r>
              <w:rPr>
                <w:sz w:val="19"/>
              </w:rPr>
            </w:r>
            <w:r>
              <w:rPr>
                <w:sz w:val="19"/>
              </w:rPr>
              <w:t>Private subnets</w:t>
            </w:r>
          </w:p>
        </w:tc>
        <w:tc>
          <w:tcPr>
            <w:tcW w:type="dxa" w:w="4680"/>
          </w:tcPr>
          <w:p>
            <w:pPr>
              <w:spacing w:after="40" w:before="40"/>
            </w:pPr>
            <w:r>
              <w:rPr>
                <w:sz w:val="19"/>
              </w:rPr>
            </w:r>
            <w:r>
              <w:rPr>
                <w:sz w:val="19"/>
              </w:rPr>
              <w:t>2</w:t>
            </w:r>
          </w:p>
        </w:tc>
      </w:tr>
      <w:tr>
        <w:tc>
          <w:tcPr>
            <w:tcW w:type="dxa" w:w="4680"/>
          </w:tcPr>
          <w:p>
            <w:pPr>
              <w:spacing w:after="40" w:before="40"/>
            </w:pPr>
            <w:r>
              <w:rPr>
                <w:sz w:val="19"/>
              </w:rPr>
            </w:r>
            <w:r>
              <w:rPr>
                <w:sz w:val="19"/>
              </w:rPr>
              <w:t>NAT gateways</w:t>
            </w:r>
          </w:p>
        </w:tc>
        <w:tc>
          <w:tcPr>
            <w:tcW w:type="dxa" w:w="4680"/>
          </w:tcPr>
          <w:p>
            <w:pPr>
              <w:spacing w:after="40" w:before="40"/>
            </w:pPr>
            <w:r>
              <w:rPr>
                <w:sz w:val="19"/>
              </w:rPr>
            </w:r>
            <w:r>
              <w:rPr>
                <w:sz w:val="19"/>
              </w:rPr>
              <w:t>In 1 AZ</w:t>
            </w:r>
          </w:p>
        </w:tc>
      </w:tr>
      <w:tr>
        <w:tc>
          <w:tcPr>
            <w:tcW w:type="dxa" w:w="4680"/>
          </w:tcPr>
          <w:p>
            <w:pPr>
              <w:spacing w:after="40" w:before="40"/>
            </w:pPr>
            <w:r>
              <w:rPr>
                <w:sz w:val="19"/>
              </w:rPr>
            </w:r>
            <w:r>
              <w:rPr>
                <w:b/>
                <w:sz w:val="19"/>
              </w:rPr>
              <w:t>VPC endpoints</w:t>
            </w:r>
          </w:p>
        </w:tc>
        <w:tc>
          <w:tcPr>
            <w:tcW w:type="dxa" w:w="4680"/>
          </w:tcPr>
          <w:p>
            <w:pPr>
              <w:spacing w:after="40" w:before="40"/>
            </w:pPr>
            <w:r>
              <w:rPr>
                <w:sz w:val="19"/>
              </w:rPr>
            </w:r>
            <w:r>
              <w:rPr>
                <w:b/>
                <w:sz w:val="19"/>
              </w:rPr>
              <w:t>None</w:t>
            </w:r>
            <w:r>
              <w:rPr>
                <w:sz w:val="19"/>
              </w:rPr>
              <w:t xml:space="preserve"> — step 4 creates them</w:t>
            </w:r>
          </w:p>
        </w:tc>
      </w:tr>
      <w:tr>
        <w:tc>
          <w:tcPr>
            <w:tcW w:type="dxa" w:w="4680"/>
          </w:tcPr>
          <w:p>
            <w:pPr>
              <w:spacing w:after="40" w:before="40"/>
            </w:pPr>
            <w:r>
              <w:rPr>
                <w:sz w:val="19"/>
              </w:rPr>
            </w:r>
            <w:r>
              <w:rPr>
                <w:sz w:val="19"/>
              </w:rPr>
              <w:t>DNS hostnames / resolution</w:t>
            </w:r>
          </w:p>
        </w:tc>
        <w:tc>
          <w:tcPr>
            <w:tcW w:type="dxa" w:w="4680"/>
          </w:tcPr>
          <w:p>
            <w:pPr>
              <w:spacing w:after="40" w:before="40"/>
            </w:pPr>
            <w:r>
              <w:rPr>
                <w:sz w:val="19"/>
              </w:rPr>
            </w:r>
            <w:r>
              <w:rPr>
                <w:sz w:val="19"/>
              </w:rPr>
              <w:t>both enabled</w:t>
            </w:r>
          </w:p>
        </w:tc>
      </w:tr>
    </w:tbl>
    <w:p>
      <w:pPr>
        <w:spacing w:after="80"/>
      </w:pPr>
    </w:p>
    <w:p>
      <w:pPr>
        <w:pStyle w:val="Heading2"/>
        <w:spacing w:before="200"/>
      </w:pPr>
      <w:r>
        <w:rPr>
          <w:color w:val="1F4E79"/>
          <w:sz w:val="24"/>
        </w:rPr>
        <w:t>⚠️ The availability zones cannot be changed later</w:t>
      </w:r>
    </w:p>
    <w:p>
      <w:r>
        <w:t xml:space="preserve">Two services constrain the choice and they support </w:t>
      </w:r>
      <w:r>
        <w:rPr>
          <w:b/>
        </w:rPr>
        <w:t>different</w:t>
      </w:r>
      <w:r>
        <w:t xml:space="preserve"> zone sets:</w:t>
      </w:r>
    </w:p>
    <w:p>
      <w:pPr>
        <w:pStyle w:val="ListBullet"/>
        <w:spacing w:after="60"/>
      </w:pPr>
      <w:r>
        <w:t>Bedrock AgentCore runs only in certain AZs</w:t>
      </w:r>
    </w:p>
    <w:p>
      <w:pPr>
        <w:pStyle w:val="ListBullet"/>
        <w:spacing w:after="60"/>
      </w:pPr>
      <w:r>
        <w:t>the OpenSearch Serverless control-plane endpoint is offered in a different</w:t>
      </w:r>
    </w:p>
    <w:p>
      <w:r>
        <w:t>subset</w:t>
      </w:r>
    </w:p>
    <w:p>
      <w:r>
        <w:t xml:space="preserve">The subnets must sit in the </w:t>
      </w:r>
      <w:r>
        <w:rPr>
          <w:b/>
        </w:rPr>
        <w:t>intersection</w:t>
      </w:r>
      <w:r>
        <w:t xml:space="preserve">. In </w:t>
      </w:r>
      <w:r>
        <w:rPr>
          <w:rFonts w:ascii="Consolas" w:hAnsi="Consolas"/>
          <w:color w:val="1F4E79"/>
          <w:sz w:val="18"/>
        </w:rPr>
        <w:t>us-east-1</w:t>
      </w:r>
      <w:r>
        <w:t xml:space="preserve"> that is</w:t>
      </w:r>
    </w:p>
    <w:p>
      <w:r>
        <w:rPr>
          <w:b/>
        </w:rPr>
        <w:t>us-east-1b and us-east-1c</w:t>
      </w:r>
      <w:r>
        <w:t>. Subnets anywhere else fail when the deployment creates the AgentCore runtimes or reaches the OpenSearch endpoint — late, after most of the deployment has succeeded.</w:t>
      </w:r>
    </w:p>
    <w:p>
      <w:r>
        <w:t xml:space="preserve">AZ *names* are per-account aliases for physical zones, so </w:t>
      </w:r>
      <w:r>
        <w:rPr>
          <w:rFonts w:ascii="Consolas" w:hAnsi="Consolas"/>
          <w:color w:val="1F4E79"/>
          <w:sz w:val="18"/>
        </w:rPr>
        <w:t>us-east-1b</w:t>
      </w:r>
      <w:r>
        <w:t xml:space="preserve"> in your account is not the same hardware as in another. Confirm before using any other region.</w:t>
      </w:r>
    </w:p>
    <w:p>
      <w:pPr>
        <w:pStyle w:val="Heading2"/>
        <w:spacing w:before="200"/>
      </w:pPr>
      <w:r>
        <w:rPr>
          <w:color w:val="1F4E79"/>
          <w:sz w:val="24"/>
        </w:rPr>
        <w:t>Record these five values</w:t>
      </w:r>
    </w:p>
    <w:tbl>
      <w:tblPr>
        <w:tblStyle w:val="TableGrid"/>
        <w:tblW w:type="auto" w:w="0"/>
        <w:jc w:val="left"/>
        <w:tblLook w:firstColumn="1" w:firstRow="1" w:lastColumn="0" w:lastRow="0" w:noHBand="0" w:noVBand="1" w:val="04A0"/>
      </w:tblPr>
      <w:tblGrid>
        <w:gridCol w:w="4680"/>
        <w:gridCol w:w="4680"/>
      </w:tblGrid>
      <w:tr>
        <w:tc>
          <w:tcPr>
            <w:tcW w:type="dxa" w:w="4680"/>
            <w:shd w:val="clear" w:fill="DEEAF6"/>
          </w:tcPr>
          <w:p>
            <w:pPr>
              <w:spacing w:after="40" w:before="40"/>
            </w:pPr>
            <w:r/>
            <w:r>
              <w:rPr>
                <w:b/>
                <w:sz w:val="19"/>
              </w:rPr>
              <w:t>Value</w:t>
            </w:r>
          </w:p>
        </w:tc>
        <w:tc>
          <w:tcPr>
            <w:tcW w:type="dxa" w:w="4680"/>
            <w:shd w:val="clear" w:fill="DEEAF6"/>
          </w:tcPr>
          <w:p>
            <w:pPr>
              <w:spacing w:after="40" w:before="40"/>
            </w:pPr>
            <w:r/>
            <w:r>
              <w:rPr>
                <w:b/>
                <w:sz w:val="19"/>
              </w:rPr>
              <w:t>Where to find it</w:t>
            </w:r>
          </w:p>
        </w:tc>
      </w:tr>
      <w:tr>
        <w:tc>
          <w:tcPr>
            <w:tcW w:type="dxa" w:w="4680"/>
          </w:tcPr>
          <w:p>
            <w:pPr>
              <w:spacing w:after="40" w:before="40"/>
            </w:pPr>
            <w:r>
              <w:rPr>
                <w:sz w:val="19"/>
              </w:rPr>
            </w:r>
            <w:r>
              <w:rPr>
                <w:sz w:val="19"/>
              </w:rPr>
              <w:t>VPC id</w:t>
            </w:r>
          </w:p>
        </w:tc>
        <w:tc>
          <w:tcPr>
            <w:tcW w:type="dxa" w:w="4680"/>
          </w:tcPr>
          <w:p>
            <w:pPr>
              <w:spacing w:after="40" w:before="40"/>
            </w:pPr>
            <w:r>
              <w:rPr>
                <w:sz w:val="19"/>
              </w:rPr>
            </w:r>
            <w:r>
              <w:rPr>
                <w:sz w:val="19"/>
              </w:rPr>
              <w:t>VPC → Your VPCs</w:t>
            </w:r>
          </w:p>
        </w:tc>
      </w:tr>
      <w:tr>
        <w:tc>
          <w:tcPr>
            <w:tcW w:type="dxa" w:w="4680"/>
          </w:tcPr>
          <w:p>
            <w:pPr>
              <w:spacing w:after="40" w:before="40"/>
            </w:pPr>
            <w:r>
              <w:rPr>
                <w:sz w:val="19"/>
              </w:rPr>
            </w:r>
            <w:r>
              <w:rPr>
                <w:sz w:val="19"/>
              </w:rPr>
              <w:t>VPC CIDR</w:t>
            </w:r>
          </w:p>
        </w:tc>
        <w:tc>
          <w:tcPr>
            <w:tcW w:type="dxa" w:w="4680"/>
          </w:tcPr>
          <w:p>
            <w:pPr>
              <w:spacing w:after="40" w:before="40"/>
            </w:pPr>
            <w:r>
              <w:rPr>
                <w:sz w:val="19"/>
              </w:rPr>
            </w:r>
            <w:r>
              <w:rPr>
                <w:sz w:val="19"/>
              </w:rPr>
              <w:t>same page</w:t>
            </w:r>
          </w:p>
        </w:tc>
      </w:tr>
      <w:tr>
        <w:tc>
          <w:tcPr>
            <w:tcW w:type="dxa" w:w="4680"/>
          </w:tcPr>
          <w:p>
            <w:pPr>
              <w:spacing w:after="40" w:before="40"/>
            </w:pPr>
            <w:r>
              <w:rPr>
                <w:sz w:val="19"/>
              </w:rPr>
            </w:r>
            <w:r>
              <w:rPr>
                <w:sz w:val="19"/>
              </w:rPr>
              <w:t>2 private subnet ids</w:t>
            </w:r>
          </w:p>
        </w:tc>
        <w:tc>
          <w:tcPr>
            <w:tcW w:type="dxa" w:w="4680"/>
          </w:tcPr>
          <w:p>
            <w:pPr>
              <w:spacing w:after="40" w:before="40"/>
            </w:pPr>
            <w:r>
              <w:rPr>
                <w:sz w:val="19"/>
              </w:rPr>
            </w:r>
            <w:r>
              <w:rPr>
                <w:sz w:val="19"/>
              </w:rPr>
              <w:t>VPC → Subnets, filtered by your VPC</w:t>
            </w:r>
          </w:p>
        </w:tc>
      </w:tr>
      <w:tr>
        <w:tc>
          <w:tcPr>
            <w:tcW w:type="dxa" w:w="4680"/>
          </w:tcPr>
          <w:p>
            <w:pPr>
              <w:spacing w:after="40" w:before="40"/>
            </w:pPr>
            <w:r>
              <w:rPr>
                <w:sz w:val="19"/>
              </w:rPr>
            </w:r>
            <w:r>
              <w:rPr>
                <w:sz w:val="19"/>
              </w:rPr>
              <w:t>their 2 AZ names</w:t>
            </w:r>
          </w:p>
        </w:tc>
        <w:tc>
          <w:tcPr>
            <w:tcW w:type="dxa" w:w="4680"/>
          </w:tcPr>
          <w:p>
            <w:pPr>
              <w:spacing w:after="40" w:before="40"/>
            </w:pPr>
            <w:r>
              <w:rPr>
                <w:sz w:val="19"/>
              </w:rPr>
            </w:r>
            <w:r>
              <w:rPr>
                <w:sz w:val="19"/>
              </w:rPr>
              <w:t>same row</w:t>
            </w:r>
          </w:p>
        </w:tc>
      </w:tr>
      <w:tr>
        <w:tc>
          <w:tcPr>
            <w:tcW w:type="dxa" w:w="4680"/>
          </w:tcPr>
          <w:p>
            <w:pPr>
              <w:spacing w:after="40" w:before="40"/>
            </w:pPr>
            <w:r>
              <w:rPr>
                <w:sz w:val="19"/>
              </w:rPr>
            </w:r>
            <w:r>
              <w:rPr>
                <w:sz w:val="19"/>
              </w:rPr>
              <w:t>their 2 route table ids</w:t>
            </w:r>
          </w:p>
        </w:tc>
        <w:tc>
          <w:tcPr>
            <w:tcW w:type="dxa" w:w="4680"/>
          </w:tcPr>
          <w:p>
            <w:pPr>
              <w:spacing w:after="40" w:before="40"/>
            </w:pPr>
            <w:r>
              <w:rPr>
                <w:sz w:val="19"/>
              </w:rPr>
            </w:r>
            <w:r>
              <w:rPr>
                <w:sz w:val="19"/>
              </w:rPr>
              <w:t xml:space="preserve">click each subnet → </w:t>
            </w:r>
            <w:r>
              <w:rPr>
                <w:b/>
                <w:sz w:val="19"/>
              </w:rPr>
              <w:t>Route table</w:t>
            </w:r>
            <w:r>
              <w:rPr>
                <w:sz w:val="19"/>
              </w:rPr>
              <w:t xml:space="preserve"> tab</w:t>
            </w:r>
          </w:p>
        </w:tc>
      </w:tr>
    </w:tbl>
    <w:p>
      <w:pPr>
        <w:spacing w:after="80"/>
      </w:pPr>
    </w:p>
    <w:p>
      <w:r>
        <w:t xml:space="preserve">The subnet, AZ and route-table lists are </w:t>
      </w:r>
      <w:r>
        <w:rPr>
          <w:b/>
        </w:rPr>
        <w:t>positional</w:t>
      </w:r>
      <w:r>
        <w:t xml:space="preserve"> — subnet 1 must be in AZ 1 and use route table 1. The build checks the lengths match and the zones differ, but it cannot check the order.</w:t>
      </w:r>
    </w:p>
    <w:p>
      <w:pPr>
        <w:pBdr>
          <w:bottom w:val="single" w:sz="6" w:color="BFBFBF"/>
        </w:pBdr>
      </w:pPr>
    </w:p>
    <w:p>
      <w:pPr>
        <w:pStyle w:val="Heading1"/>
        <w:spacing w:before="320"/>
      </w:pPr>
      <w:r>
        <w:rPr>
          <w:color w:val="1F4E79"/>
          <w:sz w:val="30"/>
        </w:rPr>
        <w:t>Step 2 — CDK bootstrap</w:t>
      </w:r>
    </w:p>
    <w:p>
      <w:r>
        <w:rPr>
          <w:b/>
        </w:rPr>
        <w:t>Template:</w:t>
      </w:r>
      <w:r>
        <w:t xml:space="preserve"> </w:t>
      </w:r>
      <w:r>
        <w:rPr>
          <w:rFonts w:ascii="Consolas" w:hAnsi="Consolas"/>
          <w:color w:val="1F4E79"/>
          <w:sz w:val="18"/>
        </w:rPr>
        <w:t>pvt_vpc/networking/coa-cdk-bootstrap.yaml</w:t>
      </w:r>
      <w:r>
        <w:t xml:space="preserve"> (14 resources)</w:t>
      </w:r>
    </w:p>
    <w:p>
      <w:r>
        <w:rPr>
          <w:b/>
        </w:rPr>
        <w:t>Why:</w:t>
      </w:r>
      <w:r>
        <w:t xml:space="preserve"> CDK publishes Lambda zips and container images to a bucket and a repository before CloudFormation reads them, and assumes five roles to do it. This has always been required — also for the standard flow.</w:t>
      </w:r>
    </w:p>
    <w:p>
      <w:r>
        <w:rPr>
          <w:b/>
        </w:rPr>
        <w:t>Console:</w:t>
      </w:r>
      <w:r>
        <w:t xml:space="preserve"> CloudFormation → *Create stack* → </w:t>
      </w:r>
      <w:r>
        <w:rPr>
          <w:b/>
        </w:rPr>
        <w:t>Upload a template file</w:t>
      </w:r>
      <w:r>
        <w:t xml:space="preserve"> → </w:t>
      </w:r>
      <w:r>
        <w:rPr>
          <w:rFonts w:ascii="Consolas" w:hAnsi="Consolas"/>
          <w:color w:val="1F4E79"/>
          <w:sz w:val="18"/>
        </w:rPr>
        <w:t>coa-cdk-bootstrap.yaml</w:t>
      </w:r>
      <w:r>
        <w:t xml:space="preserve"> → stack name </w:t>
      </w:r>
      <w:r>
        <w:rPr>
          <w:b/>
        </w:rPr>
        <w:t>`CDKToolkit`</w:t>
      </w:r>
      <w:r>
        <w:t xml:space="preserve"> → *Submit*.</w:t>
      </w:r>
    </w:p>
    <w:p>
      <w:r>
        <w:t xml:space="preserve">The stack name must be exactly </w:t>
      </w:r>
      <w:r>
        <w:rPr>
          <w:rFonts w:ascii="Consolas" w:hAnsi="Consolas"/>
          <w:color w:val="1F4E79"/>
          <w:sz w:val="18"/>
        </w:rPr>
        <w:t>CDKToolkit</w:t>
      </w:r>
      <w:r>
        <w:t xml:space="preserve">: that is what the CDK CLI and </w:t>
      </w:r>
      <w:r>
        <w:rPr>
          <w:rFonts w:ascii="Consolas" w:hAnsi="Consolas"/>
          <w:color w:val="1F4E79"/>
          <w:sz w:val="18"/>
        </w:rPr>
        <w:t>scripts/preflight-deploy.sh</w:t>
      </w:r>
      <w:r>
        <w:t xml:space="preserve"> look for.</w:t>
      </w:r>
    </w:p>
    <w:p>
      <w:pPr>
        <w:pStyle w:val="Heading2"/>
        <w:spacing w:before="200"/>
      </w:pPr>
      <w:r>
        <w:rPr>
          <w:color w:val="1F4E79"/>
          <w:sz w:val="24"/>
        </w:rPr>
        <w:t>Why the account owner applies it, not the deploying principal</w:t>
      </w:r>
    </w:p>
    <w:p>
      <w:r>
        <w:rPr>
          <w:rFonts w:ascii="Consolas" w:hAnsi="Consolas"/>
          <w:color w:val="1F4E79"/>
          <w:sz w:val="18"/>
        </w:rPr>
        <w:t>cdk bootstrap</w:t>
      </w:r>
      <w:r>
        <w:t xml:space="preserve"> is only a CLI wrapper that deploys this exact template. It creates five IAM roles, so the deploying principal cannot run it in an account denying </w:t>
      </w:r>
      <w:r>
        <w:rPr>
          <w:rFonts w:ascii="Consolas" w:hAnsi="Consolas"/>
          <w:color w:val="1F4E79"/>
          <w:sz w:val="18"/>
        </w:rPr>
        <w:t>iam:CreateRole</w:t>
      </w:r>
      <w:r>
        <w:t xml:space="preserve"> — but </w:t>
      </w:r>
      <w:r>
        <w:rPr>
          <w:b/>
        </w:rPr>
        <w:t>you</w:t>
      </w:r>
      <w:r>
        <w:t xml:space="preserve"> can apply the template, with the same rights you used for steps 1 and 5.</w:t>
      </w:r>
    </w:p>
    <w:p>
      <w:r>
        <w:t>All five names are fully determined, which is what makes this work:</w:t>
      </w:r>
    </w:p>
    <w:p>
      <w:pPr>
        <w:keepNext/>
        <w:keepLines/>
        <w:spacing w:before="120" w:after="0"/>
        <w:ind w:left="360"/>
        <w:shd w:val="clear" w:fill="F2F2F2"/>
      </w:pPr>
      <w:r>
        <w:rPr>
          <w:rFonts w:ascii="Consolas" w:hAnsi="Consolas"/>
          <w:color w:val="1A1A1A"/>
          <w:sz w:val="17"/>
        </w:rPr>
        <w:t>cdk-hnb659fds-deploy-role-&lt;account&gt;-&lt;region&gt;</w:t>
      </w:r>
    </w:p>
    <w:p>
      <w:pPr>
        <w:keepNext/>
        <w:keepLines/>
        <w:spacing w:before="0" w:after="0"/>
        <w:ind w:left="360"/>
        <w:shd w:val="clear" w:fill="F2F2F2"/>
      </w:pPr>
      <w:r>
        <w:rPr>
          <w:rFonts w:ascii="Consolas" w:hAnsi="Consolas"/>
          <w:color w:val="1A1A1A"/>
          <w:sz w:val="17"/>
        </w:rPr>
        <w:t>cdk-hnb659fds-cfn-exec-role-&lt;account&gt;-&lt;region&gt;</w:t>
      </w:r>
    </w:p>
    <w:p>
      <w:pPr>
        <w:keepNext/>
        <w:keepLines/>
        <w:spacing w:before="0" w:after="0"/>
        <w:ind w:left="360"/>
        <w:shd w:val="clear" w:fill="F2F2F2"/>
      </w:pPr>
      <w:r>
        <w:rPr>
          <w:rFonts w:ascii="Consolas" w:hAnsi="Consolas"/>
          <w:color w:val="1A1A1A"/>
          <w:sz w:val="17"/>
        </w:rPr>
        <w:t>cdk-hnb659fds-lookup-role-&lt;account&gt;-&lt;region&gt;</w:t>
      </w:r>
    </w:p>
    <w:p>
      <w:pPr>
        <w:keepNext/>
        <w:keepLines/>
        <w:spacing w:before="0" w:after="0"/>
        <w:ind w:left="360"/>
        <w:shd w:val="clear" w:fill="F2F2F2"/>
      </w:pPr>
      <w:r>
        <w:rPr>
          <w:rFonts w:ascii="Consolas" w:hAnsi="Consolas"/>
          <w:color w:val="1A1A1A"/>
          <w:sz w:val="17"/>
        </w:rPr>
        <w:t>cdk-hnb659fds-file-publishing-role-&lt;account&gt;-&lt;region&gt;</w:t>
      </w:r>
    </w:p>
    <w:p>
      <w:pPr>
        <w:keepLines/>
        <w:spacing w:before="0" w:after="120"/>
        <w:ind w:left="360"/>
        <w:shd w:val="clear" w:fill="F2F2F2"/>
      </w:pPr>
      <w:r>
        <w:rPr>
          <w:rFonts w:ascii="Consolas" w:hAnsi="Consolas"/>
          <w:color w:val="1A1A1A"/>
          <w:sz w:val="17"/>
        </w:rPr>
        <w:t>cdk-hnb659fds-image-publishing-role-&lt;account&gt;-&lt;region&gt;</w:t>
      </w:r>
    </w:p>
    <w:p>
      <w:r>
        <w:rPr>
          <w:rFonts w:ascii="Consolas" w:hAnsi="Consolas"/>
          <w:color w:val="1F4E79"/>
          <w:sz w:val="18"/>
        </w:rPr>
        <w:t>hnb659fds</w:t>
      </w:r>
      <w:r>
        <w:t xml:space="preserve"> is CDK's default qualifier. Nothing is random, nothing needs copying into the config — the deployment derives all of it from the account, region and qualifier.</w:t>
      </w:r>
    </w:p>
    <w:p>
      <w:r>
        <w:t xml:space="preserve">The file is CDK's own template, unmodified, from </w:t>
      </w:r>
      <w:r>
        <w:rPr>
          <w:rFonts w:ascii="Consolas" w:hAnsi="Consolas"/>
          <w:color w:val="1F4E79"/>
          <w:sz w:val="18"/>
        </w:rPr>
        <w:t>cdk bootstrap --show-template</w:t>
      </w:r>
      <w:r>
        <w:t>. Regenerate it from the CDK version the deployment uses rather than editing it.</w:t>
      </w:r>
    </w:p>
    <w:p>
      <w:pPr>
        <w:pStyle w:val="Heading2"/>
        <w:spacing w:before="200"/>
      </w:pPr>
      <w:r>
        <w:rPr>
          <w:color w:val="1F4E79"/>
          <w:sz w:val="24"/>
        </w:rPr>
        <w:t>⚠️ Scope CloudFormationExecutionPolicies</w:t>
      </w:r>
    </w:p>
    <w:p>
      <w:r>
        <w:t xml:space="preserve">Left empty, this parameter attaches </w:t>
      </w:r>
      <w:r>
        <w:rPr>
          <w:b/>
        </w:rPr>
        <w:t>`AdministratorAccess`</w:t>
      </w:r>
      <w:r>
        <w:t xml:space="preserve"> to the role CloudFormation assumes to do the work. The deployment would then run as full admin and the </w:t>
      </w:r>
      <w:r>
        <w:rPr>
          <w:rFonts w:ascii="Consolas" w:hAnsi="Consolas"/>
          <w:color w:val="1F4E79"/>
          <w:sz w:val="18"/>
        </w:rPr>
        <w:t>iam:CreateRole</w:t>
      </w:r>
      <w:r>
        <w:t xml:space="preserve"> denial would mean nothing — it would simply succeed at creating roles.</w:t>
      </w:r>
    </w:p>
    <w:p>
      <w:r>
        <w:t xml:space="preserve">Pass a scoped policy ARN instead. It needs create/update/delete on the services listed under step 7, plus </w:t>
      </w:r>
      <w:r>
        <w:rPr>
          <w:rFonts w:ascii="Consolas" w:hAnsi="Consolas"/>
          <w:color w:val="1F4E79"/>
          <w:sz w:val="18"/>
        </w:rPr>
        <w:t>iam:PassRole</w:t>
      </w:r>
      <w:r>
        <w:t xml:space="preserve"> and </w:t>
      </w:r>
      <w:r>
        <w:rPr>
          <w:rFonts w:ascii="Consolas" w:hAnsi="Consolas"/>
          <w:color w:val="1F4E79"/>
          <w:sz w:val="18"/>
        </w:rPr>
        <w:t>logs:PutResourcePolicy</w:t>
      </w:r>
      <w:r>
        <w:t xml:space="preserve">, and must </w:t>
      </w:r>
      <w:r>
        <w:rPr>
          <w:b/>
        </w:rPr>
        <w:t>not</w:t>
      </w:r>
      <w:r>
        <w:t xml:space="preserve"> grant </w:t>
      </w:r>
      <w:r>
        <w:rPr>
          <w:rFonts w:ascii="Consolas" w:hAnsi="Consolas"/>
          <w:color w:val="1F4E79"/>
          <w:sz w:val="18"/>
        </w:rPr>
        <w:t>iam:CreateRole</w:t>
      </w:r>
      <w:r>
        <w:t xml:space="preserve">, </w:t>
      </w:r>
      <w:r>
        <w:rPr>
          <w:rFonts w:ascii="Consolas" w:hAnsi="Consolas"/>
          <w:color w:val="1F4E79"/>
          <w:sz w:val="18"/>
        </w:rPr>
        <w:t>ec2:CreateSecurityGroup</w:t>
      </w:r>
      <w:r>
        <w:t xml:space="preserve"> or </w:t>
      </w:r>
      <w:r>
        <w:rPr>
          <w:rFonts w:ascii="Consolas" w:hAnsi="Consolas"/>
          <w:color w:val="1F4E79"/>
          <w:sz w:val="18"/>
        </w:rPr>
        <w:t>ec2:CreateVpcEndpoint</w:t>
      </w:r>
      <w:r>
        <w:t>.</w:t>
      </w:r>
    </w:p>
    <w:p>
      <w:pPr>
        <w:pStyle w:val="Heading2"/>
        <w:spacing w:before="200"/>
      </w:pPr>
      <w:r>
        <w:rPr>
          <w:color w:val="1F4E79"/>
          <w:sz w:val="24"/>
        </w:rPr>
        <w:t>⚠️ Apply it in every region the deployment touches</w:t>
      </w:r>
    </w:p>
    <w:p>
      <w:r>
        <w:t xml:space="preserve">The </w:t>
      </w:r>
      <w:r>
        <w:rPr>
          <w:rFonts w:ascii="Consolas" w:hAnsi="Consolas"/>
          <w:color w:val="1F4E79"/>
          <w:sz w:val="18"/>
        </w:rPr>
        <w:t>*-edge-waf</w:t>
      </w:r>
      <w:r>
        <w:t xml:space="preserve"> stack always deploys to </w:t>
      </w:r>
      <w:r>
        <w:rPr>
          <w:b/>
        </w:rPr>
        <w:t>`us-east-1`</w:t>
      </w:r>
      <w:r>
        <w:t xml:space="preserve">, because a CLOUDFRONT-scope WAF WebACL can only exist there. A deployment targeting any other region needs this template applied in </w:t>
      </w:r>
      <w:r>
        <w:rPr>
          <w:b/>
        </w:rPr>
        <w:t>both</w:t>
      </w:r>
      <w:r>
        <w:t xml:space="preserve"> — its own region and </w:t>
      </w:r>
      <w:r>
        <w:rPr>
          <w:rFonts w:ascii="Consolas" w:hAnsi="Consolas"/>
          <w:color w:val="1F4E79"/>
          <w:sz w:val="18"/>
        </w:rPr>
        <w:t>us-east-1</w:t>
      </w:r>
      <w:r>
        <w:t xml:space="preserve"> — or it fails partway through on that one stack, after most of the deployment has succeeded. Preflight checks both.</w:t>
      </w:r>
    </w:p>
    <w:p>
      <w:pPr>
        <w:pBdr>
          <w:bottom w:val="single" w:sz="6" w:color="BFBFBF"/>
        </w:pBdr>
      </w:pPr>
    </w:p>
    <w:p>
      <w:pPr>
        <w:pStyle w:val="Heading1"/>
        <w:spacing w:before="320"/>
      </w:pPr>
      <w:r>
        <w:rPr>
          <w:color w:val="1F4E79"/>
          <w:sz w:val="30"/>
        </w:rPr>
        <w:t>Step 3 — Security groups</w:t>
      </w:r>
    </w:p>
    <w:p>
      <w:r>
        <w:rPr>
          <w:b/>
        </w:rPr>
        <w:t>Template:</w:t>
      </w:r>
      <w:r>
        <w:t xml:space="preserve"> </w:t>
      </w:r>
      <w:r>
        <w:rPr>
          <w:rFonts w:ascii="Consolas" w:hAnsi="Consolas"/>
          <w:color w:val="1F4E79"/>
          <w:sz w:val="18"/>
        </w:rPr>
        <w:t>pvt_vpc/networking/coa-networking-security-groups.yaml</w:t>
      </w:r>
      <w:r>
        <w:t xml:space="preserve"> (21 resources)</w:t>
      </w:r>
    </w:p>
    <w:p>
      <w:r>
        <w:rPr>
          <w:b/>
        </w:rPr>
        <w:t>Why:</w:t>
      </w:r>
      <w:r>
        <w:t xml:space="preserve"> the deployment is denied </w:t>
      </w:r>
      <w:r>
        <w:rPr>
          <w:rFonts w:ascii="Consolas" w:hAnsi="Consolas"/>
          <w:color w:val="1F4E79"/>
          <w:sz w:val="18"/>
        </w:rPr>
        <w:t>ec2:CreateSecurityGroup</w:t>
      </w:r>
      <w:r>
        <w:t>, so all nine groups and the twelve rules between them are created here and imported by id.</w:t>
      </w:r>
    </w:p>
    <w:p>
      <w:r>
        <w:rPr>
          <w:b/>
        </w:rPr>
        <w:t>Apply before step 4</w:t>
      </w:r>
      <w:r>
        <w:t xml:space="preserve"> — the endpoints template takes one of its outputs.</w:t>
      </w:r>
    </w:p>
    <w:tbl>
      <w:tblPr>
        <w:tblStyle w:val="TableGrid"/>
        <w:tblW w:type="auto" w:w="0"/>
        <w:jc w:val="left"/>
        <w:tblLook w:firstColumn="1" w:firstRow="1" w:lastColumn="0" w:lastRow="0" w:noHBand="0" w:noVBand="1" w:val="04A0"/>
      </w:tblPr>
      <w:tblGrid>
        <w:gridCol w:w="4680"/>
        <w:gridCol w:w="4680"/>
      </w:tblGrid>
      <w:tr>
        <w:tc>
          <w:tcPr>
            <w:tcW w:type="dxa" w:w="4680"/>
            <w:shd w:val="clear" w:fill="DEEAF6"/>
          </w:tcPr>
          <w:p>
            <w:pPr>
              <w:spacing w:after="40" w:before="40"/>
            </w:pPr>
            <w:r/>
            <w:r>
              <w:rPr>
                <w:b/>
                <w:sz w:val="19"/>
              </w:rPr>
              <w:t>Parameter</w:t>
            </w:r>
          </w:p>
        </w:tc>
        <w:tc>
          <w:tcPr>
            <w:tcW w:type="dxa" w:w="4680"/>
            <w:shd w:val="clear" w:fill="DEEAF6"/>
          </w:tcPr>
          <w:p>
            <w:pPr>
              <w:spacing w:after="40" w:before="40"/>
            </w:pPr>
            <w:r/>
            <w:r>
              <w:rPr>
                <w:b/>
                <w:sz w:val="19"/>
              </w:rPr>
              <w:t>Value</w:t>
            </w:r>
          </w:p>
        </w:tc>
      </w:tr>
      <w:tr>
        <w:tc>
          <w:tcPr>
            <w:tcW w:type="dxa" w:w="4680"/>
          </w:tcPr>
          <w:p>
            <w:pPr>
              <w:spacing w:after="40" w:before="40"/>
            </w:pPr>
            <w:r>
              <w:rPr>
                <w:sz w:val="19"/>
              </w:rPr>
            </w:r>
            <w:r>
              <w:rPr>
                <w:rFonts w:ascii="Consolas" w:hAnsi="Consolas"/>
                <w:color w:val="1F4E79"/>
                <w:sz w:val="19"/>
              </w:rPr>
              <w:t>Prefix</w:t>
            </w:r>
          </w:p>
        </w:tc>
        <w:tc>
          <w:tcPr>
            <w:tcW w:type="dxa" w:w="4680"/>
          </w:tcPr>
          <w:p>
            <w:pPr>
              <w:spacing w:after="40" w:before="40"/>
            </w:pPr>
            <w:r>
              <w:rPr>
                <w:sz w:val="19"/>
              </w:rPr>
            </w:r>
            <w:r>
              <w:rPr>
                <w:rFonts w:ascii="Consolas" w:hAnsi="Consolas"/>
                <w:color w:val="1F4E79"/>
                <w:sz w:val="19"/>
              </w:rPr>
              <w:t>coa</w:t>
            </w:r>
          </w:p>
        </w:tc>
      </w:tr>
      <w:tr>
        <w:tc>
          <w:tcPr>
            <w:tcW w:type="dxa" w:w="4680"/>
          </w:tcPr>
          <w:p>
            <w:pPr>
              <w:spacing w:after="40" w:before="40"/>
            </w:pPr>
            <w:r>
              <w:rPr>
                <w:sz w:val="19"/>
              </w:rPr>
            </w:r>
            <w:r>
              <w:rPr>
                <w:rFonts w:ascii="Consolas" w:hAnsi="Consolas"/>
                <w:color w:val="1F4E79"/>
                <w:sz w:val="19"/>
              </w:rPr>
              <w:t>EnvName</w:t>
            </w:r>
          </w:p>
        </w:tc>
        <w:tc>
          <w:tcPr>
            <w:tcW w:type="dxa" w:w="4680"/>
          </w:tcPr>
          <w:p>
            <w:pPr>
              <w:spacing w:after="40" w:before="40"/>
            </w:pPr>
            <w:r>
              <w:rPr>
                <w:sz w:val="19"/>
              </w:rPr>
            </w:r>
            <w:r>
              <w:rPr>
                <w:rFonts w:ascii="Consolas" w:hAnsi="Consolas"/>
                <w:color w:val="1F4E79"/>
                <w:sz w:val="19"/>
              </w:rPr>
              <w:t>dev</w:t>
            </w:r>
          </w:p>
        </w:tc>
      </w:tr>
      <w:tr>
        <w:tc>
          <w:tcPr>
            <w:tcW w:type="dxa" w:w="4680"/>
          </w:tcPr>
          <w:p>
            <w:pPr>
              <w:spacing w:after="40" w:before="40"/>
            </w:pPr>
            <w:r>
              <w:rPr>
                <w:sz w:val="19"/>
              </w:rPr>
            </w:r>
            <w:r>
              <w:rPr>
                <w:rFonts w:ascii="Consolas" w:hAnsi="Consolas"/>
                <w:color w:val="1F4E79"/>
                <w:sz w:val="19"/>
              </w:rPr>
              <w:t>VpcId</w:t>
            </w:r>
          </w:p>
        </w:tc>
        <w:tc>
          <w:tcPr>
            <w:tcW w:type="dxa" w:w="4680"/>
          </w:tcPr>
          <w:p>
            <w:pPr>
              <w:spacing w:after="40" w:before="40"/>
            </w:pPr>
            <w:r>
              <w:rPr>
                <w:sz w:val="19"/>
              </w:rPr>
            </w:r>
            <w:r>
              <w:rPr>
                <w:sz w:val="19"/>
              </w:rPr>
              <w:t>from step 1</w:t>
            </w:r>
          </w:p>
        </w:tc>
      </w:tr>
      <w:tr>
        <w:tc>
          <w:tcPr>
            <w:tcW w:type="dxa" w:w="4680"/>
          </w:tcPr>
          <w:p>
            <w:pPr>
              <w:spacing w:after="40" w:before="40"/>
            </w:pPr>
            <w:r>
              <w:rPr>
                <w:sz w:val="19"/>
              </w:rPr>
            </w:r>
            <w:r>
              <w:rPr>
                <w:rFonts w:ascii="Consolas" w:hAnsi="Consolas"/>
                <w:color w:val="1F4E79"/>
                <w:sz w:val="19"/>
              </w:rPr>
              <w:t>VpcCidr</w:t>
            </w:r>
          </w:p>
        </w:tc>
        <w:tc>
          <w:tcPr>
            <w:tcW w:type="dxa" w:w="4680"/>
          </w:tcPr>
          <w:p>
            <w:pPr>
              <w:spacing w:after="40" w:before="40"/>
            </w:pPr>
            <w:r>
              <w:rPr>
                <w:sz w:val="19"/>
              </w:rPr>
            </w:r>
            <w:r>
              <w:rPr>
                <w:sz w:val="19"/>
              </w:rPr>
              <w:t xml:space="preserve">from step 1, e.g. </w:t>
            </w:r>
            <w:r>
              <w:rPr>
                <w:rFonts w:ascii="Consolas" w:hAnsi="Consolas"/>
                <w:color w:val="1F4E79"/>
                <w:sz w:val="19"/>
              </w:rPr>
              <w:t>10.0.0.0/16</w:t>
            </w:r>
          </w:p>
        </w:tc>
      </w:tr>
    </w:tbl>
    <w:p>
      <w:pPr>
        <w:spacing w:after="80"/>
      </w:pPr>
    </w:p>
    <w:p>
      <w:pPr>
        <w:pStyle w:val="Heading2"/>
        <w:spacing w:before="200"/>
      </w:pPr>
      <w:r>
        <w:rPr>
          <w:color w:val="1F4E79"/>
          <w:sz w:val="24"/>
        </w:rPr>
        <w:t>The nine groups</w:t>
      </w:r>
    </w:p>
    <w:tbl>
      <w:tblPr>
        <w:tblStyle w:val="TableGrid"/>
        <w:tblW w:type="auto" w:w="0"/>
        <w:jc w:val="left"/>
        <w:tblLook w:firstColumn="1" w:firstRow="1" w:lastColumn="0" w:lastRow="0" w:noHBand="0" w:noVBand="1" w:val="04A0"/>
      </w:tblPr>
      <w:tblGrid>
        <w:gridCol w:w="4680"/>
        <w:gridCol w:w="4680"/>
      </w:tblGrid>
      <w:tr>
        <w:tc>
          <w:tcPr>
            <w:tcW w:type="dxa" w:w="4680"/>
            <w:shd w:val="clear" w:fill="DEEAF6"/>
          </w:tcPr>
          <w:p>
            <w:pPr>
              <w:spacing w:after="40" w:before="40"/>
            </w:pPr>
            <w:r/>
            <w:r>
              <w:rPr>
                <w:b/>
                <w:sz w:val="19"/>
              </w:rPr>
              <w:t>Name</w:t>
            </w:r>
          </w:p>
        </w:tc>
        <w:tc>
          <w:tcPr>
            <w:tcW w:type="dxa" w:w="4680"/>
            <w:shd w:val="clear" w:fill="DEEAF6"/>
          </w:tcPr>
          <w:p>
            <w:pPr>
              <w:spacing w:after="40" w:before="40"/>
            </w:pPr>
            <w:r/>
            <w:r>
              <w:rPr>
                <w:b/>
                <w:sz w:val="19"/>
              </w:rPr>
              <w:t>Purpose</w:t>
            </w:r>
          </w:p>
        </w:tc>
      </w:tr>
      <w:tr>
        <w:tc>
          <w:tcPr>
            <w:tcW w:type="dxa" w:w="4680"/>
          </w:tcPr>
          <w:p>
            <w:pPr>
              <w:spacing w:after="40" w:before="40"/>
            </w:pPr>
            <w:r>
              <w:rPr>
                <w:sz w:val="19"/>
              </w:rPr>
            </w:r>
            <w:r>
              <w:rPr>
                <w:rFonts w:ascii="Consolas" w:hAnsi="Consolas"/>
                <w:color w:val="1F4E79"/>
                <w:sz w:val="19"/>
              </w:rPr>
              <w:t>coa-dev-lambda-sg</w:t>
            </w:r>
          </w:p>
        </w:tc>
        <w:tc>
          <w:tcPr>
            <w:tcW w:type="dxa" w:w="4680"/>
          </w:tcPr>
          <w:p>
            <w:pPr>
              <w:spacing w:after="40" w:before="40"/>
            </w:pPr>
            <w:r>
              <w:rPr>
                <w:sz w:val="19"/>
              </w:rPr>
            </w:r>
            <w:r>
              <w:rPr>
                <w:sz w:val="19"/>
              </w:rPr>
              <w:t>Lambda functions</w:t>
            </w:r>
          </w:p>
        </w:tc>
      </w:tr>
      <w:tr>
        <w:tc>
          <w:tcPr>
            <w:tcW w:type="dxa" w:w="4680"/>
          </w:tcPr>
          <w:p>
            <w:pPr>
              <w:spacing w:after="40" w:before="40"/>
            </w:pPr>
            <w:r>
              <w:rPr>
                <w:sz w:val="19"/>
              </w:rPr>
            </w:r>
            <w:r>
              <w:rPr>
                <w:rFonts w:ascii="Consolas" w:hAnsi="Consolas"/>
                <w:color w:val="1F4E79"/>
                <w:sz w:val="19"/>
              </w:rPr>
              <w:t>coa-dev-ecs-sg</w:t>
            </w:r>
          </w:p>
        </w:tc>
        <w:tc>
          <w:tcPr>
            <w:tcW w:type="dxa" w:w="4680"/>
          </w:tcPr>
          <w:p>
            <w:pPr>
              <w:spacing w:after="40" w:before="40"/>
            </w:pPr>
            <w:r>
              <w:rPr>
                <w:sz w:val="19"/>
              </w:rPr>
            </w:r>
            <w:r>
              <w:rPr>
                <w:sz w:val="19"/>
              </w:rPr>
              <w:t>Fargate tasks (ontology engine, VKG)</w:t>
            </w:r>
          </w:p>
        </w:tc>
      </w:tr>
      <w:tr>
        <w:tc>
          <w:tcPr>
            <w:tcW w:type="dxa" w:w="4680"/>
          </w:tcPr>
          <w:p>
            <w:pPr>
              <w:spacing w:after="40" w:before="40"/>
            </w:pPr>
            <w:r>
              <w:rPr>
                <w:sz w:val="19"/>
              </w:rPr>
            </w:r>
            <w:r>
              <w:rPr>
                <w:rFonts w:ascii="Consolas" w:hAnsi="Consolas"/>
                <w:color w:val="1F4E79"/>
                <w:sz w:val="19"/>
              </w:rPr>
              <w:t>coa-dev-neptune-sg</w:t>
            </w:r>
          </w:p>
        </w:tc>
        <w:tc>
          <w:tcPr>
            <w:tcW w:type="dxa" w:w="4680"/>
          </w:tcPr>
          <w:p>
            <w:pPr>
              <w:spacing w:after="40" w:before="40"/>
            </w:pPr>
            <w:r>
              <w:rPr>
                <w:sz w:val="19"/>
              </w:rPr>
            </w:r>
            <w:r>
              <w:rPr>
                <w:sz w:val="19"/>
              </w:rPr>
              <w:t>graph database — inbound 8182 from Lambda/ECS/AgentCore only, no egress</w:t>
            </w:r>
          </w:p>
        </w:tc>
      </w:tr>
      <w:tr>
        <w:tc>
          <w:tcPr>
            <w:tcW w:type="dxa" w:w="4680"/>
          </w:tcPr>
          <w:p>
            <w:pPr>
              <w:spacing w:after="40" w:before="40"/>
            </w:pPr>
            <w:r>
              <w:rPr>
                <w:sz w:val="19"/>
              </w:rPr>
            </w:r>
            <w:r>
              <w:rPr>
                <w:rFonts w:ascii="Consolas" w:hAnsi="Consolas"/>
                <w:color w:val="1F4E79"/>
                <w:sz w:val="19"/>
              </w:rPr>
              <w:t>coa-dev-aoss-vpce-sg</w:t>
            </w:r>
          </w:p>
        </w:tc>
        <w:tc>
          <w:tcPr>
            <w:tcW w:type="dxa" w:w="4680"/>
          </w:tcPr>
          <w:p>
            <w:pPr>
              <w:spacing w:after="40" w:before="40"/>
            </w:pPr>
            <w:r>
              <w:rPr>
                <w:sz w:val="19"/>
              </w:rPr>
            </w:r>
            <w:r>
              <w:rPr>
                <w:sz w:val="19"/>
              </w:rPr>
              <w:t>OpenSearch endpoint — inbound 443 from Lambda/ECS/AgentCore only</w:t>
            </w:r>
          </w:p>
        </w:tc>
      </w:tr>
      <w:tr>
        <w:tc>
          <w:tcPr>
            <w:tcW w:type="dxa" w:w="4680"/>
          </w:tcPr>
          <w:p>
            <w:pPr>
              <w:spacing w:after="40" w:before="40"/>
            </w:pPr>
            <w:r>
              <w:rPr>
                <w:sz w:val="19"/>
              </w:rPr>
            </w:r>
            <w:r>
              <w:rPr>
                <w:rFonts w:ascii="Consolas" w:hAnsi="Consolas"/>
                <w:color w:val="1F4E79"/>
                <w:sz w:val="19"/>
              </w:rPr>
              <w:t>coa-dev-connector-sg</w:t>
            </w:r>
          </w:p>
        </w:tc>
        <w:tc>
          <w:tcPr>
            <w:tcW w:type="dxa" w:w="4680"/>
          </w:tcPr>
          <w:p>
            <w:pPr>
              <w:spacing w:after="40" w:before="40"/>
            </w:pPr>
            <w:r>
              <w:rPr>
                <w:sz w:val="19"/>
              </w:rPr>
            </w:r>
            <w:r>
              <w:rPr>
                <w:sz w:val="19"/>
              </w:rPr>
              <w:t>database connectors (self-referencing, required by Glue/Athena)</w:t>
            </w:r>
          </w:p>
        </w:tc>
      </w:tr>
      <w:tr>
        <w:tc>
          <w:tcPr>
            <w:tcW w:type="dxa" w:w="4680"/>
          </w:tcPr>
          <w:p>
            <w:pPr>
              <w:spacing w:after="40" w:before="40"/>
            </w:pPr>
            <w:r>
              <w:rPr>
                <w:sz w:val="19"/>
              </w:rPr>
            </w:r>
            <w:r>
              <w:rPr>
                <w:rFonts w:ascii="Consolas" w:hAnsi="Consolas"/>
                <w:color w:val="1F4E79"/>
                <w:sz w:val="19"/>
              </w:rPr>
              <w:t>coa-dev-discovery-ocsp-sg</w:t>
            </w:r>
          </w:p>
        </w:tc>
        <w:tc>
          <w:tcPr>
            <w:tcW w:type="dxa" w:w="4680"/>
          </w:tcPr>
          <w:p>
            <w:pPr>
              <w:spacing w:after="40" w:before="40"/>
            </w:pPr>
            <w:r>
              <w:rPr>
                <w:sz w:val="19"/>
              </w:rPr>
            </w:r>
            <w:r>
              <w:rPr>
                <w:sz w:val="19"/>
              </w:rPr>
              <w:t>outbound 80 for Snowflake certificate checks</w:t>
            </w:r>
          </w:p>
        </w:tc>
      </w:tr>
      <w:tr>
        <w:tc>
          <w:tcPr>
            <w:tcW w:type="dxa" w:w="4680"/>
          </w:tcPr>
          <w:p>
            <w:pPr>
              <w:spacing w:after="40" w:before="40"/>
            </w:pPr>
            <w:r>
              <w:rPr>
                <w:sz w:val="19"/>
              </w:rPr>
            </w:r>
            <w:r>
              <w:rPr>
                <w:rFonts w:ascii="Consolas" w:hAnsi="Consolas"/>
                <w:color w:val="1F4E79"/>
                <w:sz w:val="19"/>
              </w:rPr>
              <w:t>coa-dev-agent-core-sg</w:t>
            </w:r>
          </w:p>
        </w:tc>
        <w:tc>
          <w:tcPr>
            <w:tcW w:type="dxa" w:w="4680"/>
          </w:tcPr>
          <w:p>
            <w:pPr>
              <w:spacing w:after="40" w:before="40"/>
            </w:pPr>
            <w:r>
              <w:rPr>
                <w:sz w:val="19"/>
              </w:rPr>
            </w:r>
            <w:r>
              <w:rPr>
                <w:sz w:val="19"/>
              </w:rPr>
              <w:t>Context Manager runtime — reaches AOSS and Neptune directly</w:t>
            </w:r>
          </w:p>
        </w:tc>
      </w:tr>
      <w:tr>
        <w:tc>
          <w:tcPr>
            <w:tcW w:type="dxa" w:w="4680"/>
          </w:tcPr>
          <w:p>
            <w:pPr>
              <w:spacing w:after="40" w:before="40"/>
            </w:pPr>
            <w:r>
              <w:rPr>
                <w:sz w:val="19"/>
              </w:rPr>
            </w:r>
            <w:r>
              <w:rPr>
                <w:rFonts w:ascii="Consolas" w:hAnsi="Consolas"/>
                <w:color w:val="1F4E79"/>
                <w:sz w:val="19"/>
              </w:rPr>
              <w:t>coa-dev-mcp-sg</w:t>
            </w:r>
          </w:p>
        </w:tc>
        <w:tc>
          <w:tcPr>
            <w:tcW w:type="dxa" w:w="4680"/>
          </w:tcPr>
          <w:p>
            <w:pPr>
              <w:spacing w:after="40" w:before="40"/>
            </w:pPr>
            <w:r>
              <w:rPr>
                <w:sz w:val="19"/>
              </w:rPr>
            </w:r>
            <w:r>
              <w:rPr>
                <w:sz w:val="19"/>
              </w:rPr>
              <w:t>MCP server runtime — HTTPS only</w:t>
            </w:r>
          </w:p>
        </w:tc>
      </w:tr>
      <w:tr>
        <w:tc>
          <w:tcPr>
            <w:tcW w:type="dxa" w:w="4680"/>
          </w:tcPr>
          <w:p>
            <w:pPr>
              <w:spacing w:after="40" w:before="40"/>
            </w:pPr>
            <w:r>
              <w:rPr>
                <w:sz w:val="19"/>
              </w:rPr>
            </w:r>
            <w:r>
              <w:rPr>
                <w:rFonts w:ascii="Consolas" w:hAnsi="Consolas"/>
                <w:color w:val="1F4E79"/>
                <w:sz w:val="19"/>
              </w:rPr>
              <w:t>coa-dev-vpce-sg</w:t>
            </w:r>
          </w:p>
        </w:tc>
        <w:tc>
          <w:tcPr>
            <w:tcW w:type="dxa" w:w="4680"/>
          </w:tcPr>
          <w:p>
            <w:pPr>
              <w:spacing w:after="40" w:before="40"/>
            </w:pPr>
            <w:r>
              <w:rPr>
                <w:sz w:val="19"/>
              </w:rPr>
            </w:r>
            <w:r>
              <w:rPr>
                <w:sz w:val="19"/>
              </w:rPr>
              <w:t>shared by all 20 interface endpoints (step 4's parameter)</w:t>
            </w:r>
          </w:p>
        </w:tc>
      </w:tr>
    </w:tbl>
    <w:p>
      <w:pPr>
        <w:spacing w:after="80"/>
      </w:pPr>
    </w:p>
    <w:p>
      <w:r>
        <w:t>One shared group serves all 20 interface endpoints rather than 20 identical copies: every one accepts 443 from inside the VPC and nothing else. What restricts the service reached is the endpoint, not the group.</w:t>
      </w:r>
    </w:p>
    <w:p>
      <w:pPr>
        <w:pStyle w:val="Heading2"/>
        <w:spacing w:before="200"/>
      </w:pPr>
      <w:r>
        <w:rPr>
          <w:color w:val="1F4E79"/>
          <w:sz w:val="24"/>
        </w:rPr>
        <w:t>Outputs to keep — all nine</w:t>
      </w:r>
    </w:p>
    <w:p>
      <w:r>
        <w:t xml:space="preserve">Eight go into </w:t>
      </w:r>
      <w:r>
        <w:rPr>
          <w:rFonts w:ascii="Consolas" w:hAnsi="Consolas"/>
          <w:color w:val="1F4E79"/>
          <w:sz w:val="18"/>
        </w:rPr>
        <w:t>config.json</w:t>
      </w:r>
      <w:r>
        <w:t>:</w:t>
      </w:r>
    </w:p>
    <w:tbl>
      <w:tblPr>
        <w:tblStyle w:val="TableGrid"/>
        <w:tblW w:type="auto" w:w="0"/>
        <w:jc w:val="left"/>
        <w:tblLook w:firstColumn="1" w:firstRow="1" w:lastColumn="0" w:lastRow="0" w:noHBand="0" w:noVBand="1" w:val="04A0"/>
      </w:tblPr>
      <w:tblGrid>
        <w:gridCol w:w="4680"/>
        <w:gridCol w:w="4680"/>
      </w:tblGrid>
      <w:tr>
        <w:tc>
          <w:tcPr>
            <w:tcW w:type="dxa" w:w="4680"/>
            <w:shd w:val="clear" w:fill="DEEAF6"/>
          </w:tcPr>
          <w:p>
            <w:pPr>
              <w:spacing w:after="40" w:before="40"/>
            </w:pPr>
            <w:r/>
            <w:r>
              <w:rPr>
                <w:b/>
                <w:sz w:val="19"/>
              </w:rPr>
              <w:t>Output</w:t>
            </w:r>
          </w:p>
        </w:tc>
        <w:tc>
          <w:tcPr>
            <w:tcW w:type="dxa" w:w="4680"/>
            <w:shd w:val="clear" w:fill="DEEAF6"/>
          </w:tcPr>
          <w:p>
            <w:pPr>
              <w:spacing w:after="40" w:before="40"/>
            </w:pPr>
            <w:r/>
            <w:r>
              <w:rPr>
                <w:b/>
                <w:sz w:val="19"/>
              </w:rPr>
              <w:t>Goes to</w:t>
            </w:r>
          </w:p>
        </w:tc>
      </w:tr>
      <w:tr>
        <w:tc>
          <w:tcPr>
            <w:tcW w:type="dxa" w:w="4680"/>
          </w:tcPr>
          <w:p>
            <w:pPr>
              <w:spacing w:after="40" w:before="40"/>
            </w:pPr>
            <w:r>
              <w:rPr>
                <w:sz w:val="19"/>
              </w:rPr>
            </w:r>
            <w:r>
              <w:rPr>
                <w:rFonts w:ascii="Consolas" w:hAnsi="Consolas"/>
                <w:color w:val="1F4E79"/>
                <w:sz w:val="19"/>
              </w:rPr>
              <w:t>LambdaSecurityGroupId</w:t>
            </w:r>
          </w:p>
        </w:tc>
        <w:tc>
          <w:tcPr>
            <w:tcW w:type="dxa" w:w="4680"/>
          </w:tcPr>
          <w:p>
            <w:pPr>
              <w:spacing w:after="40" w:before="40"/>
            </w:pPr>
            <w:r>
              <w:rPr>
                <w:sz w:val="19"/>
              </w:rPr>
            </w:r>
            <w:r>
              <w:rPr>
                <w:rFonts w:ascii="Consolas" w:hAnsi="Consolas"/>
                <w:color w:val="1F4E79"/>
                <w:sz w:val="19"/>
              </w:rPr>
              <w:t>securityGroups.lambda</w:t>
            </w:r>
          </w:p>
        </w:tc>
      </w:tr>
      <w:tr>
        <w:tc>
          <w:tcPr>
            <w:tcW w:type="dxa" w:w="4680"/>
          </w:tcPr>
          <w:p>
            <w:pPr>
              <w:spacing w:after="40" w:before="40"/>
            </w:pPr>
            <w:r>
              <w:rPr>
                <w:sz w:val="19"/>
              </w:rPr>
            </w:r>
            <w:r>
              <w:rPr>
                <w:rFonts w:ascii="Consolas" w:hAnsi="Consolas"/>
                <w:color w:val="1F4E79"/>
                <w:sz w:val="19"/>
              </w:rPr>
              <w:t>EcsSecurityGroupId</w:t>
            </w:r>
          </w:p>
        </w:tc>
        <w:tc>
          <w:tcPr>
            <w:tcW w:type="dxa" w:w="4680"/>
          </w:tcPr>
          <w:p>
            <w:pPr>
              <w:spacing w:after="40" w:before="40"/>
            </w:pPr>
            <w:r>
              <w:rPr>
                <w:sz w:val="19"/>
              </w:rPr>
            </w:r>
            <w:r>
              <w:rPr>
                <w:rFonts w:ascii="Consolas" w:hAnsi="Consolas"/>
                <w:color w:val="1F4E79"/>
                <w:sz w:val="19"/>
              </w:rPr>
              <w:t>securityGroups.ecs</w:t>
            </w:r>
          </w:p>
        </w:tc>
      </w:tr>
      <w:tr>
        <w:tc>
          <w:tcPr>
            <w:tcW w:type="dxa" w:w="4680"/>
          </w:tcPr>
          <w:p>
            <w:pPr>
              <w:spacing w:after="40" w:before="40"/>
            </w:pPr>
            <w:r>
              <w:rPr>
                <w:sz w:val="19"/>
              </w:rPr>
            </w:r>
            <w:r>
              <w:rPr>
                <w:rFonts w:ascii="Consolas" w:hAnsi="Consolas"/>
                <w:color w:val="1F4E79"/>
                <w:sz w:val="19"/>
              </w:rPr>
              <w:t>NeptuneSecurityGroupId</w:t>
            </w:r>
          </w:p>
        </w:tc>
        <w:tc>
          <w:tcPr>
            <w:tcW w:type="dxa" w:w="4680"/>
          </w:tcPr>
          <w:p>
            <w:pPr>
              <w:spacing w:after="40" w:before="40"/>
            </w:pPr>
            <w:r>
              <w:rPr>
                <w:sz w:val="19"/>
              </w:rPr>
            </w:r>
            <w:r>
              <w:rPr>
                <w:rFonts w:ascii="Consolas" w:hAnsi="Consolas"/>
                <w:color w:val="1F4E79"/>
                <w:sz w:val="19"/>
              </w:rPr>
              <w:t>securityGroups.neptune</w:t>
            </w:r>
          </w:p>
        </w:tc>
      </w:tr>
      <w:tr>
        <w:tc>
          <w:tcPr>
            <w:tcW w:type="dxa" w:w="4680"/>
          </w:tcPr>
          <w:p>
            <w:pPr>
              <w:spacing w:after="40" w:before="40"/>
            </w:pPr>
            <w:r>
              <w:rPr>
                <w:sz w:val="19"/>
              </w:rPr>
            </w:r>
            <w:r>
              <w:rPr>
                <w:rFonts w:ascii="Consolas" w:hAnsi="Consolas"/>
                <w:color w:val="1F4E79"/>
                <w:sz w:val="19"/>
              </w:rPr>
              <w:t>AossSecurityGroupId</w:t>
            </w:r>
          </w:p>
        </w:tc>
        <w:tc>
          <w:tcPr>
            <w:tcW w:type="dxa" w:w="4680"/>
          </w:tcPr>
          <w:p>
            <w:pPr>
              <w:spacing w:after="40" w:before="40"/>
            </w:pPr>
            <w:r>
              <w:rPr>
                <w:sz w:val="19"/>
              </w:rPr>
            </w:r>
            <w:r>
              <w:rPr>
                <w:rFonts w:ascii="Consolas" w:hAnsi="Consolas"/>
                <w:color w:val="1F4E79"/>
                <w:sz w:val="19"/>
              </w:rPr>
              <w:t>securityGroups.aossVpce</w:t>
            </w:r>
          </w:p>
        </w:tc>
      </w:tr>
      <w:tr>
        <w:tc>
          <w:tcPr>
            <w:tcW w:type="dxa" w:w="4680"/>
          </w:tcPr>
          <w:p>
            <w:pPr>
              <w:spacing w:after="40" w:before="40"/>
            </w:pPr>
            <w:r>
              <w:rPr>
                <w:sz w:val="19"/>
              </w:rPr>
            </w:r>
            <w:r>
              <w:rPr>
                <w:rFonts w:ascii="Consolas" w:hAnsi="Consolas"/>
                <w:color w:val="1F4E79"/>
                <w:sz w:val="19"/>
              </w:rPr>
              <w:t>ConnectorSecurityGroupId</w:t>
            </w:r>
          </w:p>
        </w:tc>
        <w:tc>
          <w:tcPr>
            <w:tcW w:type="dxa" w:w="4680"/>
          </w:tcPr>
          <w:p>
            <w:pPr>
              <w:spacing w:after="40" w:before="40"/>
            </w:pPr>
            <w:r>
              <w:rPr>
                <w:sz w:val="19"/>
              </w:rPr>
            </w:r>
            <w:r>
              <w:rPr>
                <w:rFonts w:ascii="Consolas" w:hAnsi="Consolas"/>
                <w:color w:val="1F4E79"/>
                <w:sz w:val="19"/>
              </w:rPr>
              <w:t>securityGroups.connector</w:t>
            </w:r>
          </w:p>
        </w:tc>
      </w:tr>
      <w:tr>
        <w:tc>
          <w:tcPr>
            <w:tcW w:type="dxa" w:w="4680"/>
          </w:tcPr>
          <w:p>
            <w:pPr>
              <w:spacing w:after="40" w:before="40"/>
            </w:pPr>
            <w:r>
              <w:rPr>
                <w:sz w:val="19"/>
              </w:rPr>
            </w:r>
            <w:r>
              <w:rPr>
                <w:rFonts w:ascii="Consolas" w:hAnsi="Consolas"/>
                <w:color w:val="1F4E79"/>
                <w:sz w:val="19"/>
              </w:rPr>
              <w:t>DiscoveryOcspSecurityGroupId</w:t>
            </w:r>
          </w:p>
        </w:tc>
        <w:tc>
          <w:tcPr>
            <w:tcW w:type="dxa" w:w="4680"/>
          </w:tcPr>
          <w:p>
            <w:pPr>
              <w:spacing w:after="40" w:before="40"/>
            </w:pPr>
            <w:r>
              <w:rPr>
                <w:sz w:val="19"/>
              </w:rPr>
            </w:r>
            <w:r>
              <w:rPr>
                <w:rFonts w:ascii="Consolas" w:hAnsi="Consolas"/>
                <w:color w:val="1F4E79"/>
                <w:sz w:val="19"/>
              </w:rPr>
              <w:t>securityGroups.discoveryOcsp</w:t>
            </w:r>
          </w:p>
        </w:tc>
      </w:tr>
      <w:tr>
        <w:tc>
          <w:tcPr>
            <w:tcW w:type="dxa" w:w="4680"/>
          </w:tcPr>
          <w:p>
            <w:pPr>
              <w:spacing w:after="40" w:before="40"/>
            </w:pPr>
            <w:r>
              <w:rPr>
                <w:sz w:val="19"/>
              </w:rPr>
            </w:r>
            <w:r>
              <w:rPr>
                <w:rFonts w:ascii="Consolas" w:hAnsi="Consolas"/>
                <w:color w:val="1F4E79"/>
                <w:sz w:val="19"/>
              </w:rPr>
              <w:t>AgentCoreSecurityGroupId</w:t>
            </w:r>
          </w:p>
        </w:tc>
        <w:tc>
          <w:tcPr>
            <w:tcW w:type="dxa" w:w="4680"/>
          </w:tcPr>
          <w:p>
            <w:pPr>
              <w:spacing w:after="40" w:before="40"/>
            </w:pPr>
            <w:r>
              <w:rPr>
                <w:sz w:val="19"/>
              </w:rPr>
            </w:r>
            <w:r>
              <w:rPr>
                <w:rFonts w:ascii="Consolas" w:hAnsi="Consolas"/>
                <w:color w:val="1F4E79"/>
                <w:sz w:val="19"/>
              </w:rPr>
              <w:t>securityGroups.agentCore</w:t>
            </w:r>
          </w:p>
        </w:tc>
      </w:tr>
      <w:tr>
        <w:tc>
          <w:tcPr>
            <w:tcW w:type="dxa" w:w="4680"/>
          </w:tcPr>
          <w:p>
            <w:pPr>
              <w:spacing w:after="40" w:before="40"/>
            </w:pPr>
            <w:r>
              <w:rPr>
                <w:sz w:val="19"/>
              </w:rPr>
            </w:r>
            <w:r>
              <w:rPr>
                <w:rFonts w:ascii="Consolas" w:hAnsi="Consolas"/>
                <w:color w:val="1F4E79"/>
                <w:sz w:val="19"/>
              </w:rPr>
              <w:t>McpSecurityGroupId</w:t>
            </w:r>
          </w:p>
        </w:tc>
        <w:tc>
          <w:tcPr>
            <w:tcW w:type="dxa" w:w="4680"/>
          </w:tcPr>
          <w:p>
            <w:pPr>
              <w:spacing w:after="40" w:before="40"/>
            </w:pPr>
            <w:r>
              <w:rPr>
                <w:sz w:val="19"/>
              </w:rPr>
            </w:r>
            <w:r>
              <w:rPr>
                <w:rFonts w:ascii="Consolas" w:hAnsi="Consolas"/>
                <w:color w:val="1F4E79"/>
                <w:sz w:val="19"/>
              </w:rPr>
              <w:t>securityGroups.mcp</w:t>
            </w:r>
          </w:p>
        </w:tc>
      </w:tr>
    </w:tbl>
    <w:p>
      <w:pPr>
        <w:spacing w:after="80"/>
      </w:pPr>
    </w:p>
    <w:p>
      <w:r>
        <w:t xml:space="preserve">The ninth, </w:t>
      </w:r>
      <w:r>
        <w:rPr>
          <w:b/>
        </w:rPr>
        <w:t>`InterfaceEndpointSecurityGroupId`</w:t>
      </w:r>
      <w:r>
        <w:t xml:space="preserve">, does </w:t>
      </w:r>
      <w:r>
        <w:rPr>
          <w:b/>
        </w:rPr>
        <w:t>not</w:t>
      </w:r>
      <w:r>
        <w:t xml:space="preserve"> go into the config — it is a parameter of step 4.</w:t>
      </w:r>
    </w:p>
    <w:p>
      <w:pPr>
        <w:pBdr>
          <w:bottom w:val="single" w:sz="6" w:color="BFBFBF"/>
        </w:pBdr>
      </w:pPr>
    </w:p>
    <w:p>
      <w:pPr>
        <w:pStyle w:val="Heading1"/>
        <w:spacing w:before="320"/>
      </w:pPr>
      <w:r>
        <w:rPr>
          <w:color w:val="1F4E79"/>
          <w:sz w:val="30"/>
        </w:rPr>
        <w:t>Step 4 — VPC endpoints</w:t>
      </w:r>
    </w:p>
    <w:p>
      <w:r>
        <w:rPr>
          <w:b/>
        </w:rPr>
        <w:t>Template:</w:t>
      </w:r>
      <w:r>
        <w:t xml:space="preserve"> </w:t>
      </w:r>
      <w:r>
        <w:rPr>
          <w:rFonts w:ascii="Consolas" w:hAnsi="Consolas"/>
          <w:color w:val="1F4E79"/>
          <w:sz w:val="18"/>
        </w:rPr>
        <w:t>pvt_vpc/networking/coa-networking-vpc-endpoints.yaml</w:t>
      </w:r>
      <w:r>
        <w:t xml:space="preserve"> (22 resources)</w:t>
      </w:r>
    </w:p>
    <w:p>
      <w:r>
        <w:rPr>
          <w:b/>
        </w:rPr>
        <w:t>Why:</w:t>
      </w:r>
      <w:r>
        <w:t xml:space="preserve"> the deployment is denied </w:t>
      </w:r>
      <w:r>
        <w:rPr>
          <w:rFonts w:ascii="Consolas" w:hAnsi="Consolas"/>
          <w:color w:val="1F4E79"/>
          <w:sz w:val="18"/>
        </w:rPr>
        <w:t>ec2:CreateVpcEndpoint</w:t>
      </w:r>
      <w:r>
        <w:t>. There is no NAT path for AWS API traffic in this design — all 22 endpoints keep it inside the VPC.</w:t>
      </w:r>
    </w:p>
    <w:p>
      <w:r>
        <w:t>Takes about five minutes.</w:t>
      </w:r>
    </w:p>
    <w:tbl>
      <w:tblPr>
        <w:tblStyle w:val="TableGrid"/>
        <w:tblW w:type="auto" w:w="0"/>
        <w:jc w:val="left"/>
        <w:tblLook w:firstColumn="1" w:firstRow="1" w:lastColumn="0" w:lastRow="0" w:noHBand="0" w:noVBand="1" w:val="04A0"/>
      </w:tblPr>
      <w:tblGrid>
        <w:gridCol w:w="4680"/>
        <w:gridCol w:w="4680"/>
      </w:tblGrid>
      <w:tr>
        <w:tc>
          <w:tcPr>
            <w:tcW w:type="dxa" w:w="4680"/>
            <w:shd w:val="clear" w:fill="DEEAF6"/>
          </w:tcPr>
          <w:p>
            <w:pPr>
              <w:spacing w:after="40" w:before="40"/>
            </w:pPr>
            <w:r/>
            <w:r>
              <w:rPr>
                <w:b/>
                <w:sz w:val="19"/>
              </w:rPr>
              <w:t>Parameter</w:t>
            </w:r>
          </w:p>
        </w:tc>
        <w:tc>
          <w:tcPr>
            <w:tcW w:type="dxa" w:w="4680"/>
            <w:shd w:val="clear" w:fill="DEEAF6"/>
          </w:tcPr>
          <w:p>
            <w:pPr>
              <w:spacing w:after="40" w:before="40"/>
            </w:pPr>
            <w:r/>
            <w:r>
              <w:rPr>
                <w:b/>
                <w:sz w:val="19"/>
              </w:rPr>
              <w:t>Value</w:t>
            </w:r>
          </w:p>
        </w:tc>
      </w:tr>
      <w:tr>
        <w:tc>
          <w:tcPr>
            <w:tcW w:type="dxa" w:w="4680"/>
          </w:tcPr>
          <w:p>
            <w:pPr>
              <w:spacing w:after="40" w:before="40"/>
            </w:pPr>
            <w:r>
              <w:rPr>
                <w:sz w:val="19"/>
              </w:rPr>
            </w:r>
            <w:r>
              <w:rPr>
                <w:rFonts w:ascii="Consolas" w:hAnsi="Consolas"/>
                <w:color w:val="1F4E79"/>
                <w:sz w:val="19"/>
              </w:rPr>
              <w:t>VpcId</w:t>
            </w:r>
          </w:p>
        </w:tc>
        <w:tc>
          <w:tcPr>
            <w:tcW w:type="dxa" w:w="4680"/>
          </w:tcPr>
          <w:p>
            <w:pPr>
              <w:spacing w:after="40" w:before="40"/>
            </w:pPr>
            <w:r>
              <w:rPr>
                <w:sz w:val="19"/>
              </w:rPr>
            </w:r>
            <w:r>
              <w:rPr>
                <w:sz w:val="19"/>
              </w:rPr>
              <w:t>from step 1</w:t>
            </w:r>
          </w:p>
        </w:tc>
      </w:tr>
      <w:tr>
        <w:tc>
          <w:tcPr>
            <w:tcW w:type="dxa" w:w="4680"/>
          </w:tcPr>
          <w:p>
            <w:pPr>
              <w:spacing w:after="40" w:before="40"/>
            </w:pPr>
            <w:r>
              <w:rPr>
                <w:sz w:val="19"/>
              </w:rPr>
            </w:r>
            <w:r>
              <w:rPr>
                <w:rFonts w:ascii="Consolas" w:hAnsi="Consolas"/>
                <w:color w:val="1F4E79"/>
                <w:sz w:val="19"/>
              </w:rPr>
              <w:t>PrivateSubnetIds</w:t>
            </w:r>
          </w:p>
        </w:tc>
        <w:tc>
          <w:tcPr>
            <w:tcW w:type="dxa" w:w="4680"/>
          </w:tcPr>
          <w:p>
            <w:pPr>
              <w:spacing w:after="40" w:before="40"/>
            </w:pPr>
            <w:r>
              <w:rPr>
                <w:sz w:val="19"/>
              </w:rPr>
            </w:r>
            <w:r>
              <w:rPr>
                <w:sz w:val="19"/>
              </w:rPr>
              <w:t xml:space="preserve">the </w:t>
            </w:r>
            <w:r>
              <w:rPr>
                <w:b/>
                <w:sz w:val="19"/>
              </w:rPr>
              <w:t>two private</w:t>
            </w:r>
            <w:r>
              <w:rPr>
                <w:sz w:val="19"/>
              </w:rPr>
              <w:t xml:space="preserve"> subnets from step 1</w:t>
            </w:r>
          </w:p>
        </w:tc>
      </w:tr>
      <w:tr>
        <w:tc>
          <w:tcPr>
            <w:tcW w:type="dxa" w:w="4680"/>
          </w:tcPr>
          <w:p>
            <w:pPr>
              <w:spacing w:after="40" w:before="40"/>
            </w:pPr>
            <w:r>
              <w:rPr>
                <w:sz w:val="19"/>
              </w:rPr>
            </w:r>
            <w:r>
              <w:rPr>
                <w:rFonts w:ascii="Consolas" w:hAnsi="Consolas"/>
                <w:color w:val="1F4E79"/>
                <w:sz w:val="19"/>
              </w:rPr>
              <w:t>PrivateRouteTableIds</w:t>
            </w:r>
          </w:p>
        </w:tc>
        <w:tc>
          <w:tcPr>
            <w:tcW w:type="dxa" w:w="4680"/>
          </w:tcPr>
          <w:p>
            <w:pPr>
              <w:spacing w:after="40" w:before="40"/>
            </w:pPr>
            <w:r>
              <w:rPr>
                <w:sz w:val="19"/>
              </w:rPr>
            </w:r>
            <w:r>
              <w:rPr>
                <w:sz w:val="19"/>
              </w:rPr>
              <w:t>their two route table ids</w:t>
            </w:r>
          </w:p>
        </w:tc>
      </w:tr>
      <w:tr>
        <w:tc>
          <w:tcPr>
            <w:tcW w:type="dxa" w:w="4680"/>
          </w:tcPr>
          <w:p>
            <w:pPr>
              <w:spacing w:after="40" w:before="40"/>
            </w:pPr>
            <w:r>
              <w:rPr>
                <w:sz w:val="19"/>
              </w:rPr>
            </w:r>
            <w:r>
              <w:rPr>
                <w:rFonts w:ascii="Consolas" w:hAnsi="Consolas"/>
                <w:color w:val="1F4E79"/>
                <w:sz w:val="19"/>
              </w:rPr>
              <w:t>InterfaceEndpointSecurityGroupId</w:t>
            </w:r>
          </w:p>
        </w:tc>
        <w:tc>
          <w:tcPr>
            <w:tcW w:type="dxa" w:w="4680"/>
          </w:tcPr>
          <w:p>
            <w:pPr>
              <w:spacing w:after="40" w:before="40"/>
            </w:pPr>
            <w:r>
              <w:rPr>
                <w:sz w:val="19"/>
              </w:rPr>
            </w:r>
            <w:r>
              <w:rPr>
                <w:sz w:val="19"/>
              </w:rPr>
              <w:t>from step 3's outputs</w:t>
            </w:r>
          </w:p>
        </w:tc>
      </w:tr>
    </w:tbl>
    <w:p>
      <w:pPr>
        <w:spacing w:after="80"/>
      </w:pPr>
    </w:p>
    <w:p>
      <w:r>
        <w:t xml:space="preserve">Passed </w:t>
      </w:r>
      <w:r>
        <w:rPr>
          <w:b/>
        </w:rPr>
        <w:t>by value</w:t>
      </w:r>
      <w:r>
        <w:t>, not as a CloudFormation export, so the two stacks stay independent — neither blocks changing or deleting the other.</w:t>
      </w:r>
    </w:p>
    <w:p>
      <w:pPr>
        <w:pStyle w:val="Heading2"/>
        <w:spacing w:before="200"/>
      </w:pPr>
      <w:r>
        <w:rPr>
          <w:color w:val="1F4E79"/>
          <w:sz w:val="24"/>
        </w:rPr>
        <w:t>Output to keep — one of twenty-two</w:t>
      </w:r>
    </w:p>
    <w:tbl>
      <w:tblPr>
        <w:tblStyle w:val="TableGrid"/>
        <w:tblW w:type="auto" w:w="0"/>
        <w:jc w:val="left"/>
        <w:tblLook w:firstColumn="1" w:firstRow="1" w:lastColumn="0" w:lastRow="0" w:noHBand="0" w:noVBand="1" w:val="04A0"/>
      </w:tblPr>
      <w:tblGrid>
        <w:gridCol w:w="4680"/>
        <w:gridCol w:w="4680"/>
      </w:tblGrid>
      <w:tr>
        <w:tc>
          <w:tcPr>
            <w:tcW w:type="dxa" w:w="4680"/>
            <w:shd w:val="clear" w:fill="DEEAF6"/>
          </w:tcPr>
          <w:p>
            <w:pPr>
              <w:spacing w:after="40" w:before="40"/>
            </w:pPr>
            <w:r/>
            <w:r>
              <w:rPr>
                <w:b/>
                <w:sz w:val="19"/>
              </w:rPr>
              <w:t>Output</w:t>
            </w:r>
          </w:p>
        </w:tc>
        <w:tc>
          <w:tcPr>
            <w:tcW w:type="dxa" w:w="4680"/>
            <w:shd w:val="clear" w:fill="DEEAF6"/>
          </w:tcPr>
          <w:p>
            <w:pPr>
              <w:spacing w:after="40" w:before="40"/>
            </w:pPr>
            <w:r/>
            <w:r>
              <w:rPr>
                <w:b/>
                <w:sz w:val="19"/>
              </w:rPr>
              <w:t>Goes to</w:t>
            </w:r>
          </w:p>
        </w:tc>
      </w:tr>
      <w:tr>
        <w:tc>
          <w:tcPr>
            <w:tcW w:type="dxa" w:w="4680"/>
          </w:tcPr>
          <w:p>
            <w:pPr>
              <w:spacing w:after="40" w:before="40"/>
            </w:pPr>
            <w:r>
              <w:rPr>
                <w:sz w:val="19"/>
              </w:rPr>
            </w:r>
            <w:r>
              <w:rPr>
                <w:rFonts w:ascii="Consolas" w:hAnsi="Consolas"/>
                <w:color w:val="1F4E79"/>
                <w:sz w:val="19"/>
              </w:rPr>
              <w:t>AossDataVpcEndpointId</w:t>
            </w:r>
          </w:p>
        </w:tc>
        <w:tc>
          <w:tcPr>
            <w:tcW w:type="dxa" w:w="4680"/>
          </w:tcPr>
          <w:p>
            <w:pPr>
              <w:spacing w:after="40" w:before="40"/>
            </w:pPr>
            <w:r>
              <w:rPr>
                <w:sz w:val="19"/>
              </w:rPr>
            </w:r>
            <w:r>
              <w:rPr>
                <w:rFonts w:ascii="Consolas" w:hAnsi="Consolas"/>
                <w:color w:val="1F4E79"/>
                <w:sz w:val="19"/>
              </w:rPr>
              <w:t>vpcEndpoints.aossData</w:t>
            </w:r>
          </w:p>
        </w:tc>
      </w:tr>
    </w:tbl>
    <w:p>
      <w:pPr>
        <w:spacing w:after="80"/>
      </w:pPr>
    </w:p>
    <w:p>
      <w:r>
        <w:t xml:space="preserve">The other 21 endpoints must </w:t>
      </w:r>
      <w:r>
        <w:rPr>
          <w:b/>
        </w:rPr>
        <w:t>exist</w:t>
      </w:r>
      <w:r>
        <w:t xml:space="preserve"> — nothing works without them — but their ids are not configured anywhere: private DNS makes them transparent, so the AWS SDK resolves the normal service hostname and no code references an id. Asking for 21 values that nothing reads would be 21 chances for a silent typo.</w:t>
      </w:r>
    </w:p>
    <w:p>
      <w:r>
        <w:rPr>
          <w:rFonts w:ascii="Consolas" w:hAnsi="Consolas"/>
          <w:color w:val="1F4E79"/>
          <w:sz w:val="18"/>
        </w:rPr>
        <w:t>AossDataVpcEndpointId</w:t>
      </w:r>
      <w:r>
        <w:t xml:space="preserve"> is the exception because the OpenSearch collection's network policy names that endpoint explicitly. Without it the collection is either unreachable or left publicly reachable, so the deployment fails rather than shipping either.</w:t>
      </w:r>
    </w:p>
    <w:p>
      <w:pPr>
        <w:pStyle w:val="Heading2"/>
        <w:spacing w:before="200"/>
      </w:pPr>
      <w:r>
        <w:rPr>
          <w:color w:val="1F4E79"/>
          <w:sz w:val="24"/>
        </w:rPr>
        <w:t>No internet access</w:t>
      </w:r>
    </w:p>
    <w:p>
      <w:r>
        <w:t xml:space="preserve">All AWS access goes through these endpoints, so the workloads never route to the internet. The platform can reach AWS services and any database on your own network, but </w:t>
      </w:r>
      <w:r>
        <w:rPr>
          <w:b/>
        </w:rPr>
        <w:t>not</w:t>
      </w:r>
      <w:r>
        <w:t xml:space="preserve"> the public internet. If a data source needs outbound internet, that requires a NAT gateway or a proxy — a deliberate decision, not an oversight.</w:t>
      </w:r>
    </w:p>
    <w:p>
      <w:pPr>
        <w:pBdr>
          <w:bottom w:val="single" w:sz="6" w:color="BFBFBF"/>
        </w:pBdr>
      </w:pPr>
    </w:p>
    <w:p>
      <w:pPr>
        <w:pStyle w:val="Heading1"/>
        <w:spacing w:before="320"/>
      </w:pPr>
      <w:r>
        <w:rPr>
          <w:color w:val="1F4E79"/>
          <w:sz w:val="30"/>
        </w:rPr>
        <w:t>Step 5 — IAM: 64 roles, 64 policies, 1 managed policy</w:t>
      </w:r>
    </w:p>
    <w:p>
      <w:r>
        <w:rPr>
          <w:b/>
        </w:rPr>
        <w:t>Package:</w:t>
      </w:r>
      <w:r>
        <w:t xml:space="preserve"> </w:t>
      </w:r>
      <w:r>
        <w:rPr>
          <w:rFonts w:ascii="Consolas" w:hAnsi="Consolas"/>
          <w:color w:val="1F4E79"/>
          <w:sz w:val="18"/>
        </w:rPr>
        <w:t>pvt_vpc/iam-package/</w:t>
      </w:r>
      <w:r>
        <w:t xml:space="preserve"> — see its own </w:t>
      </w:r>
      <w:r>
        <w:rPr>
          <w:rFonts w:ascii="Consolas" w:hAnsi="Consolas"/>
          <w:color w:val="1F4E79"/>
          <w:sz w:val="18"/>
        </w:rPr>
        <w:t>README.md</w:t>
      </w:r>
      <w:r>
        <w:t>.</w:t>
      </w:r>
    </w:p>
    <w:p>
      <w:r>
        <w:rPr>
          <w:b/>
        </w:rPr>
        <w:t>Why:</w:t>
      </w:r>
      <w:r>
        <w:t xml:space="preserve"> the deployment is denied </w:t>
      </w:r>
      <w:r>
        <w:rPr>
          <w:rFonts w:ascii="Consolas" w:hAnsi="Consolas"/>
          <w:color w:val="1F4E79"/>
          <w:sz w:val="18"/>
        </w:rPr>
        <w:t>iam:CreateRole</w:t>
      </w:r>
      <w:r>
        <w:t>, so every role it needs must already exist, with the exact name it imports.</w:t>
      </w:r>
    </w:p>
    <w:p>
      <w:pPr>
        <w:keepNext/>
        <w:keepLines/>
        <w:spacing w:before="120" w:after="0"/>
        <w:ind w:left="360"/>
        <w:shd w:val="clear" w:fill="F2F2F2"/>
      </w:pPr>
      <w:r>
        <w:rPr>
          <w:rFonts w:ascii="Consolas" w:hAnsi="Consolas"/>
          <w:color w:val="1A1A1A"/>
          <w:sz w:val="17"/>
        </w:rPr>
        <w:t>roles/              64 files   trust policy + managed policy ARNs + inline policy</w:t>
      </w:r>
    </w:p>
    <w:p>
      <w:pPr>
        <w:keepNext/>
        <w:keepLines/>
        <w:spacing w:before="0" w:after="0"/>
        <w:ind w:left="360"/>
        <w:shd w:val="clear" w:fill="F2F2F2"/>
      </w:pPr>
      <w:r>
        <w:rPr>
          <w:rFonts w:ascii="Consolas" w:hAnsi="Consolas"/>
          <w:color w:val="1A1A1A"/>
          <w:sz w:val="17"/>
        </w:rPr>
        <w:t>policies/           64 files   the same inline policies, standalone</w:t>
      </w:r>
    </w:p>
    <w:p>
      <w:pPr>
        <w:keepLines/>
        <w:spacing w:before="0" w:after="120"/>
        <w:ind w:left="360"/>
        <w:shd w:val="clear" w:fill="F2F2F2"/>
      </w:pPr>
      <w:r>
        <w:rPr>
          <w:rFonts w:ascii="Consolas" w:hAnsi="Consolas"/>
          <w:color w:val="1A1A1A"/>
          <w:sz w:val="17"/>
        </w:rPr>
        <w:t>managed-policies/    1 policy  coa-dev-smus-exec-policy, attached to coa-dev-smus-exec</w:t>
      </w:r>
    </w:p>
    <w:p>
      <w:pPr>
        <w:pStyle w:val="Heading2"/>
        <w:spacing w:before="200"/>
      </w:pPr>
      <w:r>
        <w:rPr>
          <w:color w:val="1F4E79"/>
          <w:sz w:val="24"/>
        </w:rPr>
        <w:t>Two things that go wrong here</w:t>
      </w:r>
    </w:p>
    <w:p>
      <w:r>
        <w:rPr>
          <w:b/>
        </w:rPr>
        <w:t>1. Names are an exact-match contract.</w:t>
      </w:r>
      <w:r>
        <w:t xml:space="preserve"> The code does:</w:t>
      </w:r>
    </w:p>
    <w:p>
      <w:pPr>
        <w:keepLines/>
        <w:spacing w:before="120" w:after="120"/>
        <w:ind w:left="360"/>
        <w:shd w:val="clear" w:fill="F2F2F2"/>
      </w:pPr>
      <w:r>
        <w:rPr>
          <w:rFonts w:ascii="Consolas" w:hAnsi="Consolas"/>
          <w:color w:val="1A1A1A"/>
          <w:sz w:val="17"/>
        </w:rPr>
        <w:t>Role.fromRoleArn(this, "…", "arn:aws:iam::&lt;account&gt;:role/coa-dev-authorizer-fn-role")</w:t>
      </w:r>
    </w:p>
    <w:p>
      <w:r>
        <w:t xml:space="preserve">One literal string. A role created with any other name is not found, the deployment </w:t>
      </w:r>
      <w:r>
        <w:rPr>
          <w:b/>
        </w:rPr>
        <w:t>still succeeds</w:t>
      </w:r>
      <w:r>
        <w:t>, and that component fails later with access-denied.</w:t>
      </w:r>
    </w:p>
    <w:p>
      <w:r>
        <w:rPr>
          <w:b/>
        </w:rPr>
        <w:t>2. The placeholders are literal text.</w:t>
      </w:r>
      <w:r>
        <w:t xml:space="preserve"> Every file contains </w:t>
      </w:r>
      <w:r>
        <w:rPr>
          <w:rFonts w:ascii="Consolas" w:hAnsi="Consolas"/>
          <w:color w:val="1F4E79"/>
          <w:sz w:val="18"/>
        </w:rPr>
        <w:t>${AccountId}</w:t>
      </w:r>
      <w:r>
        <w:t xml:space="preserve"> and </w:t>
      </w:r>
      <w:r>
        <w:rPr>
          <w:rFonts w:ascii="Consolas" w:hAnsi="Consolas"/>
          <w:color w:val="1F4E79"/>
          <w:sz w:val="18"/>
        </w:rPr>
        <w:t>${Region}</w:t>
      </w:r>
      <w:r>
        <w:t xml:space="preserve">. These are </w:t>
      </w:r>
      <w:r>
        <w:rPr>
          <w:b/>
        </w:rPr>
        <w:t>not</w:t>
      </w:r>
      <w:r>
        <w:t xml:space="preserve"> CloudFormation syntax — replace them before applying. IAM will happily accept a policy with </w:t>
      </w:r>
      <w:r>
        <w:rPr>
          <w:rFonts w:ascii="Consolas" w:hAnsi="Consolas"/>
          <w:color w:val="1F4E79"/>
          <w:sz w:val="18"/>
        </w:rPr>
        <w:t>${AccountId}</w:t>
      </w:r>
      <w:r>
        <w:t xml:space="preserve"> left in it, and it will match nothing.</w:t>
      </w:r>
    </w:p>
    <w:p>
      <w:r>
        <w:t xml:space="preserve">Three roles have </w:t>
      </w:r>
      <w:r>
        <w:rPr>
          <w:rFonts w:ascii="Consolas" w:hAnsi="Consolas"/>
          <w:color w:val="1F4E79"/>
          <w:sz w:val="18"/>
        </w:rPr>
        <w:t>"Statement": []</w:t>
      </w:r>
      <w:r>
        <w:t xml:space="preserve"> — </w:t>
      </w:r>
      <w:r>
        <w:rPr>
          <w:rFonts w:ascii="Consolas" w:hAnsi="Consolas"/>
          <w:color w:val="1F4E79"/>
          <w:sz w:val="18"/>
        </w:rPr>
        <w:t>coa-dev-not-implemented-fn-role</w:t>
      </w:r>
      <w:r>
        <w:t xml:space="preserve">, </w:t>
      </w:r>
      <w:r>
        <w:rPr>
          <w:rFonts w:ascii="Consolas" w:hAnsi="Consolas"/>
          <w:color w:val="1F4E79"/>
          <w:sz w:val="18"/>
        </w:rPr>
        <w:t>coa-dev-session-memory-role</w:t>
      </w:r>
      <w:r>
        <w:t xml:space="preserve">, </w:t>
      </w:r>
      <w:r>
        <w:rPr>
          <w:rFonts w:ascii="Consolas" w:hAnsi="Consolas"/>
          <w:color w:val="1F4E79"/>
          <w:sz w:val="18"/>
        </w:rPr>
        <w:t>coa-dev-rest-api-cloud-watch-role</w:t>
      </w:r>
      <w:r>
        <w:t>. That is correct, not a truncated export.</w:t>
      </w:r>
    </w:p>
    <w:p>
      <w:pPr>
        <w:pBdr>
          <w:bottom w:val="single" w:sz="6" w:color="BFBFBF"/>
        </w:pBdr>
      </w:pPr>
    </w:p>
    <w:p>
      <w:pPr>
        <w:pStyle w:val="Heading1"/>
        <w:spacing w:before="320"/>
      </w:pPr>
      <w:r>
        <w:rPr>
          <w:color w:val="1F4E79"/>
          <w:sz w:val="30"/>
        </w:rPr>
        <w:t>Step 6 — Fill in the config</w:t>
      </w:r>
    </w:p>
    <w:p>
      <w:r>
        <w:rPr>
          <w:b/>
        </w:rPr>
        <w:t>File:</w:t>
      </w:r>
      <w:r>
        <w:t xml:space="preserve"> </w:t>
      </w:r>
      <w:r>
        <w:rPr>
          <w:rFonts w:ascii="Consolas" w:hAnsi="Consolas"/>
          <w:color w:val="1F4E79"/>
          <w:sz w:val="18"/>
        </w:rPr>
        <w:t>pvt_vpc/config.json</w:t>
      </w:r>
      <w:r>
        <w:t>. This is the only connection between what was created in steps 1–5 and what the deployment imports.</w:t>
      </w:r>
    </w:p>
    <w:p>
      <w:pPr>
        <w:keepNext/>
        <w:keepLines/>
        <w:spacing w:before="120" w:after="0"/>
        <w:ind w:left="360"/>
        <w:shd w:val="clear" w:fill="F2F2F2"/>
      </w:pPr>
      <w:r>
        <w:rPr>
          <w:rFonts w:ascii="Consolas" w:hAnsi="Consolas"/>
          <w:color w:val="1A1A1A"/>
          <w:sz w:val="17"/>
        </w:rPr>
        <w:t>{</w:t>
      </w:r>
    </w:p>
    <w:p>
      <w:pPr>
        <w:keepNext/>
        <w:keepLines/>
        <w:spacing w:before="0" w:after="0"/>
        <w:ind w:left="360"/>
        <w:shd w:val="clear" w:fill="F2F2F2"/>
      </w:pPr>
      <w:r>
        <w:rPr>
          <w:rFonts w:ascii="Consolas" w:hAnsi="Consolas"/>
          <w:color w:val="1A1A1A"/>
          <w:sz w:val="17"/>
        </w:rPr>
        <w:t xml:space="preserve">  "account": "",                      // your 12-digit account id</w:t>
      </w:r>
    </w:p>
    <w:p>
      <w:pPr>
        <w:keepNext/>
        <w:keepLines/>
        <w:spacing w:before="0" w:after="0"/>
        <w:ind w:left="360"/>
        <w:shd w:val="clear" w:fill="F2F2F2"/>
      </w:pPr>
      <w:r>
        <w:rPr>
          <w:rFonts w:ascii="Consolas" w:hAnsi="Consolas"/>
          <w:color w:val="1A1A1A"/>
          <w:sz w:val="17"/>
        </w:rPr>
        <w:t xml:space="preserve">  "region": "us-east-1",</w:t>
      </w:r>
    </w:p>
    <w:p>
      <w:pPr>
        <w:keepNext/>
        <w:keepLines/>
        <w:spacing w:before="0" w:after="0"/>
        <w:ind w:left="360"/>
        <w:shd w:val="clear" w:fill="F2F2F2"/>
      </w:pPr>
      <w:r>
        <w:rPr>
          <w:rFonts w:ascii="Consolas" w:hAnsi="Consolas"/>
          <w:color w:val="1A1A1A"/>
          <w:sz w:val="17"/>
        </w:rPr>
        <w:t xml:space="preserve">  "prefix": "coa",                    // must match the templates' Prefix</w:t>
      </w:r>
    </w:p>
    <w:p>
      <w:pPr>
        <w:keepNext/>
        <w:keepLines/>
        <w:spacing w:before="0" w:after="0"/>
        <w:ind w:left="360"/>
        <w:shd w:val="clear" w:fill="F2F2F2"/>
      </w:pPr>
      <w:r>
        <w:rPr>
          <w:rFonts w:ascii="Consolas" w:hAnsi="Consolas"/>
          <w:color w:val="1A1A1A"/>
          <w:sz w:val="17"/>
        </w:rPr>
        <w:t xml:space="preserve">  "env": "dev",                       // must match the templates' EnvName</w:t>
      </w:r>
    </w:p>
    <w:p>
      <w:pPr>
        <w:keepNext/>
        <w:keepLines/>
        <w:spacing w:before="0" w:after="0"/>
        <w:ind w:left="360"/>
        <w:shd w:val="clear" w:fill="F2F2F2"/>
      </w:pPr>
      <w:r>
        <w:rPr>
          <w:rFonts w:ascii="Consolas" w:hAnsi="Consolas"/>
          <w:color w:val="1A1A1A"/>
          <w:sz w:val="17"/>
        </w:rPr>
        <w:t xml:space="preserve"> </w:t>
      </w:r>
    </w:p>
    <w:p>
      <w:pPr>
        <w:keepNext/>
        <w:keepLines/>
        <w:spacing w:before="0" w:after="0"/>
        <w:ind w:left="360"/>
        <w:shd w:val="clear" w:fill="F2F2F2"/>
      </w:pPr>
      <w:r>
        <w:rPr>
          <w:rFonts w:ascii="Consolas" w:hAnsi="Consolas"/>
          <w:color w:val="1A1A1A"/>
          <w:sz w:val="17"/>
        </w:rPr>
        <w:t xml:space="preserve">  "vpc": {                            // all four from step 1, POSITIONAL</w:t>
      </w:r>
    </w:p>
    <w:p>
      <w:pPr>
        <w:keepNext/>
        <w:keepLines/>
        <w:spacing w:before="0" w:after="0"/>
        <w:ind w:left="360"/>
        <w:shd w:val="clear" w:fill="F2F2F2"/>
      </w:pPr>
      <w:r>
        <w:rPr>
          <w:rFonts w:ascii="Consolas" w:hAnsi="Consolas"/>
          <w:color w:val="1A1A1A"/>
          <w:sz w:val="17"/>
        </w:rPr>
        <w:t xml:space="preserve">    "cidr": "",</w:t>
      </w:r>
    </w:p>
    <w:p>
      <w:pPr>
        <w:keepNext/>
        <w:keepLines/>
        <w:spacing w:before="0" w:after="0"/>
        <w:ind w:left="360"/>
        <w:shd w:val="clear" w:fill="F2F2F2"/>
      </w:pPr>
      <w:r>
        <w:rPr>
          <w:rFonts w:ascii="Consolas" w:hAnsi="Consolas"/>
          <w:color w:val="1A1A1A"/>
          <w:sz w:val="17"/>
        </w:rPr>
        <w:t xml:space="preserve">    "availabilityZones": ["", ""],</w:t>
      </w:r>
    </w:p>
    <w:p>
      <w:pPr>
        <w:keepNext/>
        <w:keepLines/>
        <w:spacing w:before="0" w:after="0"/>
        <w:ind w:left="360"/>
        <w:shd w:val="clear" w:fill="F2F2F2"/>
      </w:pPr>
      <w:r>
        <w:rPr>
          <w:rFonts w:ascii="Consolas" w:hAnsi="Consolas"/>
          <w:color w:val="1A1A1A"/>
          <w:sz w:val="17"/>
        </w:rPr>
        <w:t xml:space="preserve">    "privateSubnetIds": ["", ""],</w:t>
      </w:r>
    </w:p>
    <w:p>
      <w:pPr>
        <w:keepNext/>
        <w:keepLines/>
        <w:spacing w:before="0" w:after="0"/>
        <w:ind w:left="360"/>
        <w:shd w:val="clear" w:fill="F2F2F2"/>
      </w:pPr>
      <w:r>
        <w:rPr>
          <w:rFonts w:ascii="Consolas" w:hAnsi="Consolas"/>
          <w:color w:val="1A1A1A"/>
          <w:sz w:val="17"/>
        </w:rPr>
        <w:t xml:space="preserve">    "privateRouteTableIds": ["", ""]</w:t>
      </w:r>
    </w:p>
    <w:p>
      <w:pPr>
        <w:keepNext/>
        <w:keepLines/>
        <w:spacing w:before="0" w:after="0"/>
        <w:ind w:left="360"/>
        <w:shd w:val="clear" w:fill="F2F2F2"/>
      </w:pPr>
      <w:r>
        <w:rPr>
          <w:rFonts w:ascii="Consolas" w:hAnsi="Consolas"/>
          <w:color w:val="1A1A1A"/>
          <w:sz w:val="17"/>
        </w:rPr>
        <w:t xml:space="preserve">  },</w:t>
      </w:r>
    </w:p>
    <w:p>
      <w:pPr>
        <w:keepNext/>
        <w:keepLines/>
        <w:spacing w:before="0" w:after="0"/>
        <w:ind w:left="360"/>
        <w:shd w:val="clear" w:fill="F2F2F2"/>
      </w:pPr>
      <w:r>
        <w:rPr>
          <w:rFonts w:ascii="Consolas" w:hAnsi="Consolas"/>
          <w:color w:val="1A1A1A"/>
          <w:sz w:val="17"/>
        </w:rPr>
        <w:t xml:space="preserve"> </w:t>
      </w:r>
    </w:p>
    <w:p>
      <w:pPr>
        <w:keepNext/>
        <w:keepLines/>
        <w:spacing w:before="0" w:after="0"/>
        <w:ind w:left="360"/>
        <w:shd w:val="clear" w:fill="F2F2F2"/>
      </w:pPr>
      <w:r>
        <w:rPr>
          <w:rFonts w:ascii="Consolas" w:hAnsi="Consolas"/>
          <w:color w:val="1A1A1A"/>
          <w:sz w:val="17"/>
        </w:rPr>
        <w:t xml:space="preserve">  "securityGroups": {                 // the 8 ids from step 3</w:t>
      </w:r>
    </w:p>
    <w:p>
      <w:pPr>
        <w:keepNext/>
        <w:keepLines/>
        <w:spacing w:before="0" w:after="0"/>
        <w:ind w:left="360"/>
        <w:shd w:val="clear" w:fill="F2F2F2"/>
      </w:pPr>
      <w:r>
        <w:rPr>
          <w:rFonts w:ascii="Consolas" w:hAnsi="Consolas"/>
          <w:color w:val="1A1A1A"/>
          <w:sz w:val="17"/>
        </w:rPr>
        <w:t xml:space="preserve">    "lambda": "", "ecs": "", "neptune": "", "aossVpce": "",</w:t>
      </w:r>
    </w:p>
    <w:p>
      <w:pPr>
        <w:keepNext/>
        <w:keepLines/>
        <w:spacing w:before="0" w:after="0"/>
        <w:ind w:left="360"/>
        <w:shd w:val="clear" w:fill="F2F2F2"/>
      </w:pPr>
      <w:r>
        <w:rPr>
          <w:rFonts w:ascii="Consolas" w:hAnsi="Consolas"/>
          <w:color w:val="1A1A1A"/>
          <w:sz w:val="17"/>
        </w:rPr>
        <w:t xml:space="preserve">    "connector": "", "discoveryOcsp": "", "agentCore": "", "mcp": ""</w:t>
      </w:r>
    </w:p>
    <w:p>
      <w:pPr>
        <w:keepNext/>
        <w:keepLines/>
        <w:spacing w:before="0" w:after="0"/>
        <w:ind w:left="360"/>
        <w:shd w:val="clear" w:fill="F2F2F2"/>
      </w:pPr>
      <w:r>
        <w:rPr>
          <w:rFonts w:ascii="Consolas" w:hAnsi="Consolas"/>
          <w:color w:val="1A1A1A"/>
          <w:sz w:val="17"/>
        </w:rPr>
        <w:t xml:space="preserve">  },</w:t>
      </w:r>
    </w:p>
    <w:p>
      <w:pPr>
        <w:keepNext/>
        <w:keepLines/>
        <w:spacing w:before="0" w:after="0"/>
        <w:ind w:left="360"/>
        <w:shd w:val="clear" w:fill="F2F2F2"/>
      </w:pPr>
      <w:r>
        <w:rPr>
          <w:rFonts w:ascii="Consolas" w:hAnsi="Consolas"/>
          <w:color w:val="1A1A1A"/>
          <w:sz w:val="17"/>
        </w:rPr>
        <w:t xml:space="preserve"> </w:t>
      </w:r>
    </w:p>
    <w:p>
      <w:pPr>
        <w:keepNext/>
        <w:keepLines/>
        <w:spacing w:before="0" w:after="0"/>
        <w:ind w:left="360"/>
        <w:shd w:val="clear" w:fill="F2F2F2"/>
      </w:pPr>
      <w:r>
        <w:rPr>
          <w:rFonts w:ascii="Consolas" w:hAnsi="Consolas"/>
          <w:color w:val="1A1A1A"/>
          <w:sz w:val="17"/>
        </w:rPr>
        <w:t xml:space="preserve">  "vpcEndpoints": { "aossData": "" }  // from step 4</w:t>
      </w:r>
    </w:p>
    <w:p>
      <w:pPr>
        <w:keepNext/>
        <w:keepLines/>
        <w:spacing w:before="0" w:after="0"/>
        <w:ind w:left="360"/>
        <w:shd w:val="clear" w:fill="F2F2F2"/>
      </w:pPr>
      <w:r>
        <w:rPr>
          <w:rFonts w:ascii="Consolas" w:hAnsi="Consolas"/>
          <w:color w:val="1A1A1A"/>
          <w:sz w:val="17"/>
        </w:rPr>
        <w:t xml:space="preserve"> </w:t>
      </w:r>
    </w:p>
    <w:p>
      <w:pPr>
        <w:keepLines/>
        <w:spacing w:before="0" w:after="120"/>
        <w:ind w:left="360"/>
        <w:shd w:val="clear" w:fill="F2F2F2"/>
      </w:pPr>
      <w:r>
        <w:rPr>
          <w:rFonts w:ascii="Consolas" w:hAnsi="Consolas"/>
          <w:color w:val="1A1A1A"/>
          <w:sz w:val="17"/>
        </w:rPr>
        <w:t>}</w:t>
      </w:r>
    </w:p>
    <w:p>
      <w:r>
        <w:rPr>
          <w:b/>
        </w:rPr>
        <w:t>The VPC id is not in this file.</w:t>
      </w:r>
      <w:r>
        <w:t xml:space="preserve"> It goes on the command line, and its presence is what selects this flow.</w:t>
      </w:r>
    </w:p>
    <w:p>
      <w:r>
        <w:t xml:space="preserve">Every field above is required when </w:t>
      </w:r>
      <w:r>
        <w:rPr>
          <w:rFonts w:ascii="Consolas" w:hAnsi="Consolas"/>
          <w:color w:val="1F4E79"/>
          <w:sz w:val="18"/>
        </w:rPr>
        <w:t>-c vpc_id=</w:t>
      </w:r>
      <w:r>
        <w:t xml:space="preserve"> is given. A blank one fails at synth with a named list — before anything is deployed, which is the cheapest place to find out.</w:t>
      </w:r>
    </w:p>
    <w:p>
      <w:r>
        <w:rPr>
          <w:rFonts w:ascii="Consolas" w:hAnsi="Consolas"/>
          <w:color w:val="1F4E79"/>
          <w:sz w:val="18"/>
        </w:rPr>
        <w:t>prefix</w:t>
      </w:r>
      <w:r>
        <w:t xml:space="preserve"> and </w:t>
      </w:r>
      <w:r>
        <w:rPr>
          <w:rFonts w:ascii="Consolas" w:hAnsi="Consolas"/>
          <w:color w:val="1F4E79"/>
          <w:sz w:val="18"/>
        </w:rPr>
        <w:t>env</w:t>
      </w:r>
      <w:r>
        <w:t xml:space="preserve"> must match what you passed to the templates in steps 2–4: every resource name and every IAM role name is built from them.</w:t>
      </w:r>
    </w:p>
    <w:p>
      <w:pPr>
        <w:pStyle w:val="Heading2"/>
        <w:spacing w:before="200"/>
      </w:pPr>
      <w:r>
        <w:rPr>
          <w:color w:val="1F4E79"/>
          <w:sz w:val="24"/>
        </w:rPr>
        <w:t>Optional: resources you already run</w:t>
      </w:r>
    </w:p>
    <w:p>
      <w:r>
        <w:rPr>
          <w:rFonts w:ascii="Consolas" w:hAnsi="Consolas"/>
          <w:color w:val="1F4E79"/>
          <w:sz w:val="18"/>
        </w:rPr>
        <w:t>existing.neptune</w:t>
      </w:r>
      <w:r>
        <w:t xml:space="preserve"> points the deployment at a graph database you already have, instead of creating one. Leave all three fields blank — the shipped state — and it creates its own cluster exactly as before.</w:t>
      </w:r>
    </w:p>
    <w:p>
      <w:pPr>
        <w:keepNext/>
        <w:keepLines/>
        <w:spacing w:before="120" w:after="0"/>
        <w:ind w:left="360"/>
        <w:shd w:val="clear" w:fill="F2F2F2"/>
      </w:pPr>
      <w:r>
        <w:rPr>
          <w:rFonts w:ascii="Consolas" w:hAnsi="Consolas"/>
          <w:color w:val="1A1A1A"/>
          <w:sz w:val="17"/>
        </w:rPr>
        <w:t>"existing": {</w:t>
      </w:r>
    </w:p>
    <w:p>
      <w:pPr>
        <w:keepNext/>
        <w:keepLines/>
        <w:spacing w:before="0" w:after="0"/>
        <w:ind w:left="360"/>
        <w:shd w:val="clear" w:fill="F2F2F2"/>
      </w:pPr>
      <w:r>
        <w:rPr>
          <w:rFonts w:ascii="Consolas" w:hAnsi="Consolas"/>
          <w:color w:val="1A1A1A"/>
          <w:sz w:val="17"/>
        </w:rPr>
        <w:t xml:space="preserve">  "neptune": {</w:t>
      </w:r>
    </w:p>
    <w:p>
      <w:pPr>
        <w:keepNext/>
        <w:keepLines/>
        <w:spacing w:before="0" w:after="0"/>
        <w:ind w:left="360"/>
        <w:shd w:val="clear" w:fill="F2F2F2"/>
      </w:pPr>
      <w:r>
        <w:rPr>
          <w:rFonts w:ascii="Consolas" w:hAnsi="Consolas"/>
          <w:color w:val="1A1A1A"/>
          <w:sz w:val="17"/>
        </w:rPr>
        <w:t xml:space="preserve">    "clusterEndpoint": "",     // host only, no scheme, no port</w:t>
      </w:r>
    </w:p>
    <w:p>
      <w:pPr>
        <w:keepNext/>
        <w:keepLines/>
        <w:spacing w:before="0" w:after="0"/>
        <w:ind w:left="360"/>
        <w:shd w:val="clear" w:fill="F2F2F2"/>
      </w:pPr>
      <w:r>
        <w:rPr>
          <w:rFonts w:ascii="Consolas" w:hAnsi="Consolas"/>
          <w:color w:val="1A1A1A"/>
          <w:sz w:val="17"/>
        </w:rPr>
        <w:t xml:space="preserve">    "port": "8182",</w:t>
      </w:r>
    </w:p>
    <w:p>
      <w:pPr>
        <w:keepNext/>
        <w:keepLines/>
        <w:spacing w:before="0" w:after="0"/>
        <w:ind w:left="360"/>
        <w:shd w:val="clear" w:fill="F2F2F2"/>
      </w:pPr>
      <w:r>
        <w:rPr>
          <w:rFonts w:ascii="Consolas" w:hAnsi="Consolas"/>
          <w:color w:val="1A1A1A"/>
          <w:sz w:val="17"/>
        </w:rPr>
        <w:t xml:space="preserve">    "clusterResourceId": ""    // "cluster-ABCD1234…", NOT the cluster name</w:t>
      </w:r>
    </w:p>
    <w:p>
      <w:pPr>
        <w:keepNext/>
        <w:keepLines/>
        <w:spacing w:before="0" w:after="0"/>
        <w:ind w:left="360"/>
        <w:shd w:val="clear" w:fill="F2F2F2"/>
      </w:pPr>
      <w:r>
        <w:rPr>
          <w:rFonts w:ascii="Consolas" w:hAnsi="Consolas"/>
          <w:color w:val="1A1A1A"/>
          <w:sz w:val="17"/>
        </w:rPr>
        <w:t xml:space="preserve">  }</w:t>
      </w:r>
    </w:p>
    <w:p>
      <w:pPr>
        <w:keepLines/>
        <w:spacing w:before="0" w:after="120"/>
        <w:ind w:left="360"/>
        <w:shd w:val="clear" w:fill="F2F2F2"/>
      </w:pPr>
      <w:r>
        <w:rPr>
          <w:rFonts w:ascii="Consolas" w:hAnsi="Consolas"/>
          <w:color w:val="1A1A1A"/>
          <w:sz w:val="17"/>
        </w:rPr>
        <w:t>}</w:t>
      </w:r>
    </w:p>
    <w:p>
      <w:r>
        <w:rPr>
          <w:rFonts w:ascii="Consolas" w:hAnsi="Consolas"/>
          <w:color w:val="1F4E79"/>
          <w:sz w:val="18"/>
        </w:rPr>
        <w:t>clusterResourceId</w:t>
      </w:r>
      <w:r>
        <w:t xml:space="preserve"> is the expensive mistake. Every IAM data-access policy is </w:t>
      </w:r>
      <w:r>
        <w:rPr>
          <w:rFonts w:ascii="Consolas" w:hAnsi="Consolas"/>
          <w:color w:val="1F4E79"/>
          <w:sz w:val="18"/>
        </w:rPr>
        <w:t>arn:aws:neptune-db:…:{clusterResourceId}/*</w:t>
      </w:r>
      <w:r>
        <w:t xml:space="preserve">, so the cluster </w:t>
      </w:r>
      <w:r>
        <w:rPr>
          <w:b/>
        </w:rPr>
        <w:t>name</w:t>
      </w:r>
      <w:r>
        <w:t xml:space="preserve"> there produces a valid-looking ARN that matches nothing and denies every request — at runtime, not at deploy. Find the real value with:</w:t>
      </w:r>
    </w:p>
    <w:p>
      <w:pPr>
        <w:keepNext/>
        <w:keepLines/>
        <w:spacing w:before="120" w:after="0"/>
        <w:ind w:left="360"/>
        <w:shd w:val="clear" w:fill="F2F2F2"/>
      </w:pPr>
      <w:r>
        <w:rPr>
          <w:rFonts w:ascii="Consolas" w:hAnsi="Consolas"/>
          <w:color w:val="1A1A1A"/>
          <w:sz w:val="17"/>
        </w:rPr>
        <w:t>aws neptune describe-db-clusters --db-cluster-identifier &lt;name&gt; \</w:t>
      </w:r>
    </w:p>
    <w:p>
      <w:pPr>
        <w:keepLines/>
        <w:spacing w:before="0" w:after="120"/>
        <w:ind w:left="360"/>
        <w:shd w:val="clear" w:fill="F2F2F2"/>
      </w:pPr>
      <w:r>
        <w:rPr>
          <w:rFonts w:ascii="Consolas" w:hAnsi="Consolas"/>
          <w:color w:val="1A1A1A"/>
          <w:sz w:val="17"/>
        </w:rPr>
        <w:t xml:space="preserve">  --query 'DBClusters[0].DbClusterResourceId'</w:t>
      </w:r>
    </w:p>
    <w:p>
      <w:r>
        <w:t xml:space="preserve">This block is read in </w:t>
      </w:r>
      <w:r>
        <w:rPr>
          <w:b/>
        </w:rPr>
        <w:t>both</w:t>
      </w:r>
      <w:r>
        <w:t xml:space="preserve"> flows: an existing Neptune is possible whether or not the VPC was also pre-created.</w:t>
      </w:r>
    </w:p>
    <w:p>
      <w:pPr>
        <w:pBdr>
          <w:bottom w:val="single" w:sz="6" w:color="BFBFBF"/>
        </w:pBdr>
      </w:pPr>
    </w:p>
    <w:p>
      <w:pPr>
        <w:pStyle w:val="Heading1"/>
        <w:spacing w:before="320"/>
      </w:pPr>
      <w:r>
        <w:rPr>
          <w:color w:val="1F4E79"/>
          <w:sz w:val="30"/>
        </w:rPr>
        <w:t>Step 7 — Deploy</w:t>
      </w:r>
    </w:p>
    <w:p>
      <w:pPr>
        <w:keepNext/>
        <w:keepLines/>
        <w:spacing w:before="120" w:after="0"/>
        <w:ind w:left="360"/>
        <w:shd w:val="clear" w:fill="F2F2F2"/>
      </w:pPr>
      <w:r>
        <w:rPr>
          <w:rFonts w:ascii="Consolas" w:hAnsi="Consolas"/>
          <w:color w:val="1A1A1A"/>
          <w:sz w:val="17"/>
        </w:rPr>
        <w:t>cd infra</w:t>
      </w:r>
    </w:p>
    <w:p>
      <w:pPr>
        <w:keepLines/>
        <w:spacing w:before="0" w:after="120"/>
        <w:ind w:left="360"/>
        <w:shd w:val="clear" w:fill="F2F2F2"/>
      </w:pPr>
      <w:r>
        <w:rPr>
          <w:rFonts w:ascii="Consolas" w:hAnsi="Consolas"/>
          <w:color w:val="1A1A1A"/>
          <w:sz w:val="17"/>
        </w:rPr>
        <w:t>npx cdk deploy --all -c vpc_id=vpc-xxxxxxxx</w:t>
      </w:r>
    </w:p>
    <w:p>
      <w:r>
        <w:t>15 stacks, 352 resources. Expect 30–60 minutes on a first run, most of it Neptune, OpenSearch and the AgentCore runtimes.</w:t>
      </w:r>
    </w:p>
    <w:p>
      <w:pPr>
        <w:pStyle w:val="Heading2"/>
        <w:spacing w:before="200"/>
      </w:pPr>
      <w:r>
        <w:rPr>
          <w:color w:val="1F4E79"/>
          <w:sz w:val="24"/>
        </w:rPr>
        <w:t>What it creates, and what it never touches</w:t>
      </w:r>
    </w:p>
    <w:tbl>
      <w:tblPr>
        <w:tblStyle w:val="TableGrid"/>
        <w:tblW w:type="auto" w:w="0"/>
        <w:jc w:val="left"/>
        <w:tblLook w:firstColumn="1" w:firstRow="1" w:lastColumn="0" w:lastRow="0" w:noHBand="0" w:noVBand="1" w:val="04A0"/>
      </w:tblPr>
      <w:tblGrid>
        <w:gridCol w:w="4680"/>
        <w:gridCol w:w="4680"/>
      </w:tblGrid>
      <w:tr>
        <w:tc>
          <w:tcPr>
            <w:tcW w:type="dxa" w:w="4680"/>
            <w:shd w:val="clear" w:fill="DEEAF6"/>
          </w:tcPr>
          <w:p>
            <w:pPr>
              <w:spacing w:after="40" w:before="40"/>
            </w:pPr>
            <w:r/>
            <w:r>
              <w:rPr>
                <w:b/>
                <w:sz w:val="19"/>
              </w:rPr>
            </w:r>
          </w:p>
        </w:tc>
        <w:tc>
          <w:tcPr>
            <w:tcW w:type="dxa" w:w="4680"/>
            <w:shd w:val="clear" w:fill="DEEAF6"/>
          </w:tcPr>
          <w:p>
            <w:pPr>
              <w:spacing w:after="40" w:before="40"/>
            </w:pPr>
            <w:r/>
            <w:r>
              <w:rPr>
                <w:b/>
                <w:sz w:val="19"/>
              </w:rPr>
            </w:r>
          </w:p>
        </w:tc>
      </w:tr>
      <w:tr>
        <w:tc>
          <w:tcPr>
            <w:tcW w:type="dxa" w:w="4680"/>
          </w:tcPr>
          <w:p>
            <w:pPr>
              <w:spacing w:after="40" w:before="40"/>
            </w:pPr>
            <w:r>
              <w:rPr>
                <w:sz w:val="19"/>
              </w:rPr>
            </w:r>
            <w:r>
              <w:rPr>
                <w:rFonts w:ascii="Consolas" w:hAnsi="Consolas"/>
                <w:color w:val="1F4E79"/>
                <w:sz w:val="19"/>
              </w:rPr>
              <w:t>AWS::IAM::Role</w:t>
            </w:r>
          </w:p>
        </w:tc>
        <w:tc>
          <w:tcPr>
            <w:tcW w:type="dxa" w:w="4680"/>
          </w:tcPr>
          <w:p>
            <w:pPr>
              <w:spacing w:after="40" w:before="40"/>
            </w:pPr>
            <w:r>
              <w:rPr>
                <w:sz w:val="19"/>
              </w:rPr>
            </w:r>
            <w:r>
              <w:rPr>
                <w:b/>
                <w:sz w:val="19"/>
              </w:rPr>
              <w:t>0</w:t>
            </w:r>
          </w:p>
        </w:tc>
      </w:tr>
      <w:tr>
        <w:tc>
          <w:tcPr>
            <w:tcW w:type="dxa" w:w="4680"/>
          </w:tcPr>
          <w:p>
            <w:pPr>
              <w:spacing w:after="40" w:before="40"/>
            </w:pPr>
            <w:r>
              <w:rPr>
                <w:sz w:val="19"/>
              </w:rPr>
            </w:r>
            <w:r>
              <w:rPr>
                <w:rFonts w:ascii="Consolas" w:hAnsi="Consolas"/>
                <w:color w:val="1F4E79"/>
                <w:sz w:val="19"/>
              </w:rPr>
              <w:t>AWS::IAM::Policy</w:t>
            </w:r>
          </w:p>
        </w:tc>
        <w:tc>
          <w:tcPr>
            <w:tcW w:type="dxa" w:w="4680"/>
          </w:tcPr>
          <w:p>
            <w:pPr>
              <w:spacing w:after="40" w:before="40"/>
            </w:pPr>
            <w:r>
              <w:rPr>
                <w:sz w:val="19"/>
              </w:rPr>
            </w:r>
            <w:r>
              <w:rPr>
                <w:b/>
                <w:sz w:val="19"/>
              </w:rPr>
              <w:t>0</w:t>
            </w:r>
          </w:p>
        </w:tc>
      </w:tr>
      <w:tr>
        <w:tc>
          <w:tcPr>
            <w:tcW w:type="dxa" w:w="4680"/>
          </w:tcPr>
          <w:p>
            <w:pPr>
              <w:spacing w:after="40" w:before="40"/>
            </w:pPr>
            <w:r>
              <w:rPr>
                <w:sz w:val="19"/>
              </w:rPr>
            </w:r>
            <w:r>
              <w:rPr>
                <w:rFonts w:ascii="Consolas" w:hAnsi="Consolas"/>
                <w:color w:val="1F4E79"/>
                <w:sz w:val="19"/>
              </w:rPr>
              <w:t>AWS::IAM::ManagedPolicy</w:t>
            </w:r>
          </w:p>
        </w:tc>
        <w:tc>
          <w:tcPr>
            <w:tcW w:type="dxa" w:w="4680"/>
          </w:tcPr>
          <w:p>
            <w:pPr>
              <w:spacing w:after="40" w:before="40"/>
            </w:pPr>
            <w:r>
              <w:rPr>
                <w:sz w:val="19"/>
              </w:rPr>
            </w:r>
            <w:r>
              <w:rPr>
                <w:b/>
                <w:sz w:val="19"/>
              </w:rPr>
              <w:t>0</w:t>
            </w:r>
          </w:p>
        </w:tc>
      </w:tr>
      <w:tr>
        <w:tc>
          <w:tcPr>
            <w:tcW w:type="dxa" w:w="4680"/>
          </w:tcPr>
          <w:p>
            <w:pPr>
              <w:spacing w:after="40" w:before="40"/>
            </w:pPr>
            <w:r>
              <w:rPr>
                <w:sz w:val="19"/>
              </w:rPr>
            </w:r>
            <w:r>
              <w:rPr>
                <w:rFonts w:ascii="Consolas" w:hAnsi="Consolas"/>
                <w:color w:val="1F4E79"/>
                <w:sz w:val="19"/>
              </w:rPr>
              <w:t>AWS::EC2::SecurityGroup</w:t>
            </w:r>
          </w:p>
        </w:tc>
        <w:tc>
          <w:tcPr>
            <w:tcW w:type="dxa" w:w="4680"/>
          </w:tcPr>
          <w:p>
            <w:pPr>
              <w:spacing w:after="40" w:before="40"/>
            </w:pPr>
            <w:r>
              <w:rPr>
                <w:sz w:val="19"/>
              </w:rPr>
            </w:r>
            <w:r>
              <w:rPr>
                <w:b/>
                <w:sz w:val="19"/>
              </w:rPr>
              <w:t>0</w:t>
            </w:r>
          </w:p>
        </w:tc>
      </w:tr>
      <w:tr>
        <w:tc>
          <w:tcPr>
            <w:tcW w:type="dxa" w:w="4680"/>
          </w:tcPr>
          <w:p>
            <w:pPr>
              <w:spacing w:after="40" w:before="40"/>
            </w:pPr>
            <w:r>
              <w:rPr>
                <w:sz w:val="19"/>
              </w:rPr>
            </w:r>
            <w:r>
              <w:rPr>
                <w:rFonts w:ascii="Consolas" w:hAnsi="Consolas"/>
                <w:color w:val="1F4E79"/>
                <w:sz w:val="19"/>
              </w:rPr>
              <w:t>AWS::EC2::VPCEndpoint</w:t>
            </w:r>
          </w:p>
        </w:tc>
        <w:tc>
          <w:tcPr>
            <w:tcW w:type="dxa" w:w="4680"/>
          </w:tcPr>
          <w:p>
            <w:pPr>
              <w:spacing w:after="40" w:before="40"/>
            </w:pPr>
            <w:r>
              <w:rPr>
                <w:sz w:val="19"/>
              </w:rPr>
            </w:r>
            <w:r>
              <w:rPr>
                <w:b/>
                <w:sz w:val="19"/>
              </w:rPr>
              <w:t>0</w:t>
            </w:r>
          </w:p>
        </w:tc>
      </w:tr>
      <w:tr>
        <w:tc>
          <w:tcPr>
            <w:tcW w:type="dxa" w:w="4680"/>
          </w:tcPr>
          <w:p>
            <w:pPr>
              <w:spacing w:after="40" w:before="40"/>
            </w:pPr>
            <w:r>
              <w:rPr>
                <w:sz w:val="19"/>
              </w:rPr>
            </w:r>
            <w:r>
              <w:rPr>
                <w:rFonts w:ascii="Consolas" w:hAnsi="Consolas"/>
                <w:color w:val="1F4E79"/>
                <w:sz w:val="19"/>
              </w:rPr>
              <w:t>AWS::EC2::VPC</w:t>
            </w:r>
          </w:p>
        </w:tc>
        <w:tc>
          <w:tcPr>
            <w:tcW w:type="dxa" w:w="4680"/>
          </w:tcPr>
          <w:p>
            <w:pPr>
              <w:spacing w:after="40" w:before="40"/>
            </w:pPr>
            <w:r>
              <w:rPr>
                <w:sz w:val="19"/>
              </w:rPr>
            </w:r>
            <w:r>
              <w:rPr>
                <w:b/>
                <w:sz w:val="19"/>
              </w:rPr>
              <w:t>0</w:t>
            </w:r>
          </w:p>
        </w:tc>
      </w:tr>
    </w:tbl>
    <w:p>
      <w:pPr>
        <w:spacing w:after="80"/>
      </w:pPr>
    </w:p>
    <w:p>
      <w:r>
        <w:t xml:space="preserve">It does create 55 </w:t>
      </w:r>
      <w:r>
        <w:rPr>
          <w:b/>
        </w:rPr>
        <w:t>resource</w:t>
      </w:r>
      <w:r>
        <w:t xml:space="preserve"> policies, which are a different thing from identity policies:</w:t>
      </w:r>
    </w:p>
    <w:tbl>
      <w:tblPr>
        <w:tblStyle w:val="TableGrid"/>
        <w:tblW w:type="auto" w:w="0"/>
        <w:jc w:val="left"/>
        <w:tblLook w:firstColumn="1" w:firstRow="1" w:lastColumn="0" w:lastRow="0" w:noHBand="0" w:noVBand="1" w:val="04A0"/>
      </w:tblPr>
      <w:tblGrid>
        <w:gridCol w:w="4680"/>
        <w:gridCol w:w="4680"/>
      </w:tblGrid>
      <w:tr>
        <w:tc>
          <w:tcPr>
            <w:tcW w:type="dxa" w:w="4680"/>
            <w:shd w:val="clear" w:fill="DEEAF6"/>
          </w:tcPr>
          <w:p>
            <w:pPr>
              <w:spacing w:after="40" w:before="40"/>
            </w:pPr>
            <w:r/>
            <w:r>
              <w:rPr>
                <w:b/>
                <w:sz w:val="19"/>
              </w:rPr>
              <w:t>Type</w:t>
            </w:r>
          </w:p>
        </w:tc>
        <w:tc>
          <w:tcPr>
            <w:tcW w:type="dxa" w:w="4680"/>
            <w:shd w:val="clear" w:fill="DEEAF6"/>
          </w:tcPr>
          <w:p>
            <w:pPr>
              <w:spacing w:after="40" w:before="40"/>
            </w:pPr>
            <w:r/>
            <w:r>
              <w:rPr>
                <w:b/>
                <w:sz w:val="19"/>
              </w:rPr>
              <w:t>Count</w:t>
            </w:r>
          </w:p>
        </w:tc>
      </w:tr>
      <w:tr>
        <w:tc>
          <w:tcPr>
            <w:tcW w:type="dxa" w:w="4680"/>
          </w:tcPr>
          <w:p>
            <w:pPr>
              <w:spacing w:after="40" w:before="40"/>
            </w:pPr>
            <w:r>
              <w:rPr>
                <w:sz w:val="19"/>
              </w:rPr>
            </w:r>
            <w:r>
              <w:rPr>
                <w:rFonts w:ascii="Consolas" w:hAnsi="Consolas"/>
                <w:color w:val="1F4E79"/>
                <w:sz w:val="19"/>
              </w:rPr>
              <w:t>Lambda::Permission</w:t>
            </w:r>
          </w:p>
        </w:tc>
        <w:tc>
          <w:tcPr>
            <w:tcW w:type="dxa" w:w="4680"/>
          </w:tcPr>
          <w:p>
            <w:pPr>
              <w:spacing w:after="40" w:before="40"/>
            </w:pPr>
            <w:r>
              <w:rPr>
                <w:sz w:val="19"/>
              </w:rPr>
            </w:r>
            <w:r>
              <w:rPr>
                <w:sz w:val="19"/>
              </w:rPr>
              <w:t>17</w:t>
            </w:r>
          </w:p>
        </w:tc>
      </w:tr>
      <w:tr>
        <w:tc>
          <w:tcPr>
            <w:tcW w:type="dxa" w:w="4680"/>
          </w:tcPr>
          <w:p>
            <w:pPr>
              <w:spacing w:after="40" w:before="40"/>
            </w:pPr>
            <w:r>
              <w:rPr>
                <w:sz w:val="19"/>
              </w:rPr>
            </w:r>
            <w:r>
              <w:rPr>
                <w:rFonts w:ascii="Consolas" w:hAnsi="Consolas"/>
                <w:color w:val="1F4E79"/>
                <w:sz w:val="19"/>
              </w:rPr>
              <w:t>SQS::QueuePolicy</w:t>
            </w:r>
          </w:p>
        </w:tc>
        <w:tc>
          <w:tcPr>
            <w:tcW w:type="dxa" w:w="4680"/>
          </w:tcPr>
          <w:p>
            <w:pPr>
              <w:spacing w:after="40" w:before="40"/>
            </w:pPr>
            <w:r>
              <w:rPr>
                <w:sz w:val="19"/>
              </w:rPr>
            </w:r>
            <w:r>
              <w:rPr>
                <w:sz w:val="19"/>
              </w:rPr>
              <w:t>14</w:t>
            </w:r>
          </w:p>
        </w:tc>
      </w:tr>
      <w:tr>
        <w:tc>
          <w:tcPr>
            <w:tcW w:type="dxa" w:w="4680"/>
          </w:tcPr>
          <w:p>
            <w:pPr>
              <w:spacing w:after="40" w:before="40"/>
            </w:pPr>
            <w:r>
              <w:rPr>
                <w:sz w:val="19"/>
              </w:rPr>
            </w:r>
            <w:r>
              <w:rPr>
                <w:rFonts w:ascii="Consolas" w:hAnsi="Consolas"/>
                <w:color w:val="1F4E79"/>
                <w:sz w:val="19"/>
              </w:rPr>
              <w:t>S3::BucketPolicy</w:t>
            </w:r>
          </w:p>
        </w:tc>
        <w:tc>
          <w:tcPr>
            <w:tcW w:type="dxa" w:w="4680"/>
          </w:tcPr>
          <w:p>
            <w:pPr>
              <w:spacing w:after="40" w:before="40"/>
            </w:pPr>
            <w:r>
              <w:rPr>
                <w:sz w:val="19"/>
              </w:rPr>
            </w:r>
            <w:r>
              <w:rPr>
                <w:sz w:val="19"/>
              </w:rPr>
              <w:t>11</w:t>
            </w:r>
          </w:p>
        </w:tc>
      </w:tr>
      <w:tr>
        <w:tc>
          <w:tcPr>
            <w:tcW w:type="dxa" w:w="4680"/>
          </w:tcPr>
          <w:p>
            <w:pPr>
              <w:spacing w:after="40" w:before="40"/>
            </w:pPr>
            <w:r>
              <w:rPr>
                <w:sz w:val="19"/>
              </w:rPr>
            </w:r>
            <w:r>
              <w:rPr>
                <w:rFonts w:ascii="Consolas" w:hAnsi="Consolas"/>
                <w:color w:val="1F4E79"/>
                <w:sz w:val="19"/>
              </w:rPr>
              <w:t>OpenSearchServerless::AccessPolicy</w:t>
            </w:r>
          </w:p>
        </w:tc>
        <w:tc>
          <w:tcPr>
            <w:tcW w:type="dxa" w:w="4680"/>
          </w:tcPr>
          <w:p>
            <w:pPr>
              <w:spacing w:after="40" w:before="40"/>
            </w:pPr>
            <w:r>
              <w:rPr>
                <w:sz w:val="19"/>
              </w:rPr>
            </w:r>
            <w:r>
              <w:rPr>
                <w:sz w:val="19"/>
              </w:rPr>
              <w:t>6</w:t>
            </w:r>
          </w:p>
        </w:tc>
      </w:tr>
      <w:tr>
        <w:tc>
          <w:tcPr>
            <w:tcW w:type="dxa" w:w="4680"/>
          </w:tcPr>
          <w:p>
            <w:pPr>
              <w:spacing w:after="40" w:before="40"/>
            </w:pPr>
            <w:r>
              <w:rPr>
                <w:sz w:val="19"/>
              </w:rPr>
            </w:r>
            <w:r>
              <w:rPr>
                <w:rFonts w:ascii="Consolas" w:hAnsi="Consolas"/>
                <w:color w:val="1F4E79"/>
                <w:sz w:val="19"/>
              </w:rPr>
              <w:t>Logs::ResourcePolicy</w:t>
            </w:r>
          </w:p>
        </w:tc>
        <w:tc>
          <w:tcPr>
            <w:tcW w:type="dxa" w:w="4680"/>
          </w:tcPr>
          <w:p>
            <w:pPr>
              <w:spacing w:after="40" w:before="40"/>
            </w:pPr>
            <w:r>
              <w:rPr>
                <w:sz w:val="19"/>
              </w:rPr>
            </w:r>
            <w:r>
              <w:rPr>
                <w:sz w:val="19"/>
              </w:rPr>
              <w:t>3</w:t>
            </w:r>
          </w:p>
        </w:tc>
      </w:tr>
      <w:tr>
        <w:tc>
          <w:tcPr>
            <w:tcW w:type="dxa" w:w="4680"/>
          </w:tcPr>
          <w:p>
            <w:pPr>
              <w:spacing w:after="40" w:before="40"/>
            </w:pPr>
            <w:r>
              <w:rPr>
                <w:sz w:val="19"/>
              </w:rPr>
            </w:r>
            <w:r>
              <w:rPr>
                <w:rFonts w:ascii="Consolas" w:hAnsi="Consolas"/>
                <w:color w:val="1F4E79"/>
                <w:sz w:val="19"/>
              </w:rPr>
              <w:t>OpenSearchServerless::SecurityPolicy</w:t>
            </w:r>
          </w:p>
        </w:tc>
        <w:tc>
          <w:tcPr>
            <w:tcW w:type="dxa" w:w="4680"/>
          </w:tcPr>
          <w:p>
            <w:pPr>
              <w:spacing w:after="40" w:before="40"/>
            </w:pPr>
            <w:r>
              <w:rPr>
                <w:sz w:val="19"/>
              </w:rPr>
            </w:r>
            <w:r>
              <w:rPr>
                <w:sz w:val="19"/>
              </w:rPr>
              <w:t>2</w:t>
            </w:r>
          </w:p>
        </w:tc>
      </w:tr>
      <w:tr>
        <w:tc>
          <w:tcPr>
            <w:tcW w:type="dxa" w:w="4680"/>
          </w:tcPr>
          <w:p>
            <w:pPr>
              <w:spacing w:after="40" w:before="40"/>
            </w:pPr>
            <w:r>
              <w:rPr>
                <w:sz w:val="19"/>
              </w:rPr>
            </w:r>
            <w:r>
              <w:rPr>
                <w:rFonts w:ascii="Consolas" w:hAnsi="Consolas"/>
                <w:color w:val="1F4E79"/>
                <w:sz w:val="19"/>
              </w:rPr>
              <w:t>DataZone::PolicyGrant</w:t>
            </w:r>
          </w:p>
        </w:tc>
        <w:tc>
          <w:tcPr>
            <w:tcW w:type="dxa" w:w="4680"/>
          </w:tcPr>
          <w:p>
            <w:pPr>
              <w:spacing w:after="40" w:before="40"/>
            </w:pPr>
            <w:r>
              <w:rPr>
                <w:sz w:val="19"/>
              </w:rPr>
            </w:r>
            <w:r>
              <w:rPr>
                <w:sz w:val="19"/>
              </w:rPr>
              <w:t>2</w:t>
            </w:r>
          </w:p>
        </w:tc>
      </w:tr>
    </w:tbl>
    <w:p>
      <w:pPr>
        <w:spacing w:after="80"/>
      </w:pPr>
    </w:p>
    <w:p>
      <w:pPr>
        <w:keepNext/>
        <w:keepLines/>
        <w:spacing w:before="120" w:after="0"/>
        <w:ind w:left="360"/>
        <w:shd w:val="clear" w:fill="F2F2F2"/>
      </w:pPr>
      <w:r>
        <w:rPr>
          <w:rFonts w:ascii="Consolas" w:hAnsi="Consolas"/>
          <w:color w:val="1A1A1A"/>
          <w:sz w:val="17"/>
        </w:rPr>
        <w:t>identity policy   "this ROLE may do X"      needs iam:*        none created</w:t>
      </w:r>
    </w:p>
    <w:p>
      <w:pPr>
        <w:keepLines/>
        <w:spacing w:before="0" w:after="120"/>
        <w:ind w:left="360"/>
        <w:shd w:val="clear" w:fill="F2F2F2"/>
      </w:pPr>
      <w:r>
        <w:rPr>
          <w:rFonts w:ascii="Consolas" w:hAnsi="Consolas"/>
          <w:color w:val="1A1A1A"/>
          <w:sz w:val="17"/>
        </w:rPr>
        <w:t>resource policy   "X may use this QUEUE"    needs sqs:* etc.   55 created</w:t>
      </w:r>
    </w:p>
    <w:p>
      <w:r>
        <w:t>Every one targets a resource the deployment itself creates.</w:t>
      </w:r>
    </w:p>
    <w:p>
      <w:pPr>
        <w:pStyle w:val="Heading2"/>
        <w:spacing w:before="200"/>
      </w:pPr>
      <w:r>
        <w:rPr>
          <w:color w:val="1F4E79"/>
          <w:sz w:val="24"/>
        </w:rPr>
        <w:t>Permissions the deploying principal does need</w:t>
      </w:r>
    </w:p>
    <w:p>
      <w:r>
        <w:t xml:space="preserve">Create/update/delete on: Lambda, S3, SQS, DynamoDB, SSM, CloudWatch, Logs, ECS, ECR, Events, StepFunctions, Scheduler, ApiGateway, Cognito, CloudFront, WAFv2, Neptune, OpenSearchServerless, DataZone, Athena, Bedrock, BedrockAgentCore, ServiceDiscovery, CloudFormation — plus </w:t>
      </w:r>
      <w:r>
        <w:rPr>
          <w:rFonts w:ascii="Consolas" w:hAnsi="Consolas"/>
          <w:color w:val="1F4E79"/>
          <w:sz w:val="18"/>
        </w:rPr>
        <w:t>iam:PassRole</w:t>
      </w:r>
      <w:r>
        <w:t xml:space="preserve"> to attach the pre-created roles, and </w:t>
      </w:r>
      <w:r>
        <w:rPr>
          <w:rFonts w:ascii="Consolas" w:hAnsi="Consolas"/>
          <w:color w:val="1F4E79"/>
          <w:sz w:val="18"/>
        </w:rPr>
        <w:t>logs:PutResourcePolicy</w:t>
      </w:r>
      <w:r>
        <w:t>.</w:t>
      </w:r>
    </w:p>
    <w:p>
      <w:r>
        <w:rPr>
          <w:rFonts w:ascii="Consolas" w:hAnsi="Consolas"/>
          <w:color w:val="1F4E79"/>
          <w:sz w:val="18"/>
        </w:rPr>
        <w:t>logs:PutResourcePolicy</w:t>
      </w:r>
      <w:r>
        <w:t xml:space="preserve"> is worth calling out: EventBridge cannot deliver to a log group without a resource policy on it, and this flow writes that policy as plain CloudFormation. The alternative CDK uses by default is a Lambda-backed custom resource with a CDK-named IAM role — which is exactly what this account denies.</w:t>
      </w:r>
    </w:p>
    <w:p>
      <w:pPr>
        <w:pBdr>
          <w:bottom w:val="single" w:sz="6" w:color="BFBFBF"/>
        </w:pBdr>
      </w:pPr>
    </w:p>
    <w:p>
      <w:pPr>
        <w:pStyle w:val="Heading1"/>
        <w:spacing w:before="320"/>
      </w:pPr>
      <w:r>
        <w:rPr>
          <w:color w:val="1F4E79"/>
          <w:sz w:val="30"/>
        </w:rPr>
        <w:t>Step 8 — After the deployment</w:t>
      </w:r>
    </w:p>
    <w:p>
      <w:pPr>
        <w:pStyle w:val="Heading2"/>
        <w:spacing w:before="200"/>
      </w:pPr>
      <w:r>
        <w:rPr>
          <w:color w:val="1F4E79"/>
          <w:sz w:val="24"/>
        </w:rPr>
        <w:t>Set the API Gateway account-level CloudWatch role</w:t>
      </w:r>
    </w:p>
    <w:p>
      <w:pPr>
        <w:keepNext/>
        <w:keepLines/>
        <w:spacing w:before="120" w:after="0"/>
        <w:ind w:left="360"/>
        <w:shd w:val="clear" w:fill="F2F2F2"/>
      </w:pPr>
      <w:r>
        <w:rPr>
          <w:rFonts w:ascii="Consolas" w:hAnsi="Consolas"/>
          <w:color w:val="1A1A1A"/>
          <w:sz w:val="17"/>
        </w:rPr>
        <w:t>aws apigateway update-account \</w:t>
      </w:r>
    </w:p>
    <w:p>
      <w:pPr>
        <w:keepNext/>
        <w:keepLines/>
        <w:spacing w:before="0" w:after="0"/>
        <w:ind w:left="360"/>
        <w:shd w:val="clear" w:fill="F2F2F2"/>
      </w:pPr>
      <w:r>
        <w:rPr>
          <w:rFonts w:ascii="Consolas" w:hAnsi="Consolas"/>
          <w:color w:val="1A1A1A"/>
          <w:sz w:val="17"/>
        </w:rPr>
        <w:t xml:space="preserve">  --patch-operations op=replace,path=/cloudwatchRoleArn,\</w:t>
      </w:r>
    </w:p>
    <w:p>
      <w:pPr>
        <w:keepLines/>
        <w:spacing w:before="0" w:after="120"/>
        <w:ind w:left="360"/>
        <w:shd w:val="clear" w:fill="F2F2F2"/>
      </w:pPr>
      <w:r>
        <w:rPr>
          <w:rFonts w:ascii="Consolas" w:hAnsi="Consolas"/>
          <w:color w:val="1A1A1A"/>
          <w:sz w:val="17"/>
        </w:rPr>
        <w:t>value=arn:aws:iam::&lt;account&gt;:role/coa-dev-rest-api-cloud-watch-role</w:t>
      </w:r>
    </w:p>
    <w:p>
      <w:r>
        <w:t xml:space="preserve">An account-wide setting, not a per-stack one, and CDK's </w:t>
      </w:r>
      <w:r>
        <w:rPr>
          <w:rFonts w:ascii="Consolas" w:hAnsi="Consolas"/>
          <w:color w:val="1F4E79"/>
          <w:sz w:val="18"/>
        </w:rPr>
        <w:t>SpecRestApi</w:t>
      </w:r>
      <w:r>
        <w:t xml:space="preserve"> exposes it only as a boolean — so it cannot accept a pre-created role and must be set once by hand. Without it, API Gateway access logging silently does nothing. The role is already in the IAM package.</w:t>
      </w:r>
    </w:p>
    <w:p>
      <w:pPr>
        <w:pStyle w:val="Heading2"/>
        <w:spacing w:before="200"/>
      </w:pPr>
      <w:r>
        <w:rPr>
          <w:color w:val="1F4E79"/>
          <w:sz w:val="24"/>
        </w:rPr>
        <w:t>Verify the vector store is not publicly reachable</w:t>
      </w:r>
    </w:p>
    <w:p>
      <w:pPr>
        <w:keepLines/>
        <w:spacing w:before="120" w:after="120"/>
        <w:ind w:left="360"/>
        <w:shd w:val="clear" w:fill="F2F2F2"/>
      </w:pPr>
      <w:r>
        <w:rPr>
          <w:rFonts w:ascii="Consolas" w:hAnsi="Consolas"/>
          <w:color w:val="1A1A1A"/>
          <w:sz w:val="17"/>
        </w:rPr>
        <w:t>aws opensearchserverless get-security-policy --name coa-dev-network --type network</w:t>
      </w:r>
    </w:p>
    <w:p>
      <w:r>
        <w:t xml:space="preserve">Expect </w:t>
      </w:r>
      <w:r>
        <w:rPr>
          <w:rFonts w:ascii="Consolas" w:hAnsi="Consolas"/>
          <w:color w:val="1F4E79"/>
          <w:sz w:val="18"/>
        </w:rPr>
        <w:t>SourceVPCEs</w:t>
      </w:r>
      <w:r>
        <w:t xml:space="preserve"> to list your endpoint and </w:t>
      </w:r>
      <w:r>
        <w:rPr>
          <w:b/>
        </w:rPr>
        <w:t>no `AllowFromPublic`</w:t>
      </w:r>
      <w:r>
        <w:t xml:space="preserve">. The templates are correct, but this confirms the deployed state — and an </w:t>
      </w:r>
      <w:r>
        <w:rPr>
          <w:rFonts w:ascii="Consolas" w:hAnsi="Consolas"/>
          <w:color w:val="1F4E79"/>
          <w:sz w:val="18"/>
        </w:rPr>
        <w:t>AllowFromPublic</w:t>
      </w:r>
      <w:r>
        <w:t xml:space="preserve"> rule is </w:t>
      </w:r>
      <w:r>
        <w:rPr>
          <w:b/>
        </w:rPr>
        <w:t>additive</w:t>
      </w:r>
      <w:r>
        <w:t>, so it would open a second door beside the endpoint rather than replacing it.</w:t>
      </w:r>
    </w:p>
    <w:p>
      <w:pPr>
        <w:pBdr>
          <w:bottom w:val="single" w:sz="6" w:color="BFBFBF"/>
        </w:pBdr>
      </w:pPr>
    </w:p>
    <w:p>
      <w:pPr>
        <w:pStyle w:val="Heading1"/>
        <w:spacing w:before="320"/>
      </w:pPr>
      <w:r>
        <w:rPr>
          <w:color w:val="1F4E79"/>
          <w:sz w:val="30"/>
        </w:rPr>
        <w:t>Tearing down</w:t>
      </w:r>
    </w:p>
    <w:p>
      <w:pPr>
        <w:keepNext/>
        <w:keepLines/>
        <w:spacing w:before="120" w:after="0"/>
        <w:ind w:left="360"/>
        <w:shd w:val="clear" w:fill="F2F2F2"/>
      </w:pPr>
      <w:r>
        <w:rPr>
          <w:rFonts w:ascii="Consolas" w:hAnsi="Consolas"/>
          <w:color w:val="1A1A1A"/>
          <w:sz w:val="17"/>
        </w:rPr>
        <w:t># 1. Empty the 11 buckets FIRST</w:t>
      </w:r>
    </w:p>
    <w:p>
      <w:pPr>
        <w:keepNext/>
        <w:keepLines/>
        <w:spacing w:before="0" w:after="0"/>
        <w:ind w:left="360"/>
        <w:shd w:val="clear" w:fill="F2F2F2"/>
      </w:pPr>
      <w:r>
        <w:rPr>
          <w:rFonts w:ascii="Consolas" w:hAnsi="Consolas"/>
          <w:color w:val="1A1A1A"/>
          <w:sz w:val="17"/>
        </w:rPr>
        <w:t>#    coa-dev-{metric-logs,metric-osi,sources-logs,sources-data,storage-logs,</w:t>
      </w:r>
    </w:p>
    <w:p>
      <w:pPr>
        <w:keepNext/>
        <w:keepLines/>
        <w:spacing w:before="0" w:after="0"/>
        <w:ind w:left="360"/>
        <w:shd w:val="clear" w:fill="F2F2F2"/>
      </w:pPr>
      <w:r>
        <w:rPr>
          <w:rFonts w:ascii="Consolas" w:hAnsi="Consolas"/>
          <w:color w:val="1A1A1A"/>
          <w:sz w:val="17"/>
        </w:rPr>
        <w:t>#             athena-results,athena-spill,ontology-artifacts,ui-logs,</w:t>
      </w:r>
    </w:p>
    <w:p>
      <w:pPr>
        <w:keepNext/>
        <w:keepLines/>
        <w:spacing w:before="0" w:after="0"/>
        <w:ind w:left="360"/>
        <w:shd w:val="clear" w:fill="F2F2F2"/>
      </w:pPr>
      <w:r>
        <w:rPr>
          <w:rFonts w:ascii="Consolas" w:hAnsi="Consolas"/>
          <w:color w:val="1A1A1A"/>
          <w:sz w:val="17"/>
        </w:rPr>
        <w:t>#             ui-assets,cf-logs}-*</w:t>
      </w:r>
    </w:p>
    <w:p>
      <w:pPr>
        <w:keepLines/>
        <w:spacing w:before="0" w:after="120"/>
        <w:ind w:left="360"/>
        <w:shd w:val="clear" w:fill="F2F2F2"/>
      </w:pPr>
      <w:r>
        <w:rPr>
          <w:rFonts w:ascii="Consolas" w:hAnsi="Consolas"/>
          <w:color w:val="1A1A1A"/>
          <w:sz w:val="17"/>
        </w:rPr>
        <w:t>npx cdk destroy --all -c vpc_id=vpc-xxxxxxxx</w:t>
      </w:r>
    </w:p>
    <w:p>
      <w:r>
        <w:t>The standard flow installs an auto-delete helper that empties them for you. This flow does not: that helper is a Lambda needing its own IAM role. CloudFormation cannot delete a non-empty bucket, so the stack delete fails part-way if you skip this.</w:t>
      </w:r>
    </w:p>
    <w:p>
      <w:r>
        <w:t>Then remove, in any order: the IAM package, the three CloudFormation stacks, and the VPC. The bootstrap stack (</w:t>
      </w:r>
      <w:r>
        <w:rPr>
          <w:rFonts w:ascii="Consolas" w:hAnsi="Consolas"/>
          <w:color w:val="1F4E79"/>
          <w:sz w:val="18"/>
        </w:rPr>
        <w:t>CDKToolkit</w:t>
      </w:r>
      <w:r>
        <w:t>) retains its asset bucket and container repository, so deleting it leaves those behind — empty and delete them by hand if you want them gone.</w:t>
      </w:r>
    </w:p>
    <w:p>
      <w:pPr>
        <w:pBdr>
          <w:bottom w:val="single" w:sz="6" w:color="BFBFBF"/>
        </w:pBdr>
      </w:pPr>
    </w:p>
    <w:p>
      <w:pPr>
        <w:pStyle w:val="Heading1"/>
        <w:spacing w:before="320"/>
      </w:pPr>
      <w:r>
        <w:rPr>
          <w:color w:val="1F4E79"/>
          <w:sz w:val="30"/>
        </w:rPr>
        <w:t>If something fails</w:t>
      </w:r>
    </w:p>
    <w:tbl>
      <w:tblPr>
        <w:tblStyle w:val="TableGrid"/>
        <w:tblW w:type="auto" w:w="0"/>
        <w:jc w:val="left"/>
        <w:tblLook w:firstColumn="1" w:firstRow="1" w:lastColumn="0" w:lastRow="0" w:noHBand="0" w:noVBand="1" w:val="04A0"/>
      </w:tblPr>
      <w:tblGrid>
        <w:gridCol w:w="4680"/>
        <w:gridCol w:w="4680"/>
      </w:tblGrid>
      <w:tr>
        <w:tc>
          <w:tcPr>
            <w:tcW w:type="dxa" w:w="4680"/>
            <w:shd w:val="clear" w:fill="DEEAF6"/>
          </w:tcPr>
          <w:p>
            <w:pPr>
              <w:spacing w:after="40" w:before="40"/>
            </w:pPr>
            <w:r/>
            <w:r>
              <w:rPr>
                <w:b/>
                <w:sz w:val="19"/>
              </w:rPr>
              <w:t>Symptom</w:t>
            </w:r>
          </w:p>
        </w:tc>
        <w:tc>
          <w:tcPr>
            <w:tcW w:type="dxa" w:w="4680"/>
            <w:shd w:val="clear" w:fill="DEEAF6"/>
          </w:tcPr>
          <w:p>
            <w:pPr>
              <w:spacing w:after="40" w:before="40"/>
            </w:pPr>
            <w:r/>
            <w:r>
              <w:rPr>
                <w:b/>
                <w:sz w:val="19"/>
              </w:rPr>
              <w:t>Cause</w:t>
            </w:r>
          </w:p>
        </w:tc>
      </w:tr>
      <w:tr>
        <w:tc>
          <w:tcPr>
            <w:tcW w:type="dxa" w:w="4680"/>
          </w:tcPr>
          <w:p>
            <w:pPr>
              <w:spacing w:after="40" w:before="40"/>
            </w:pPr>
            <w:r>
              <w:rPr>
                <w:sz w:val="19"/>
              </w:rPr>
            </w:r>
            <w:r>
              <w:rPr>
                <w:rFonts w:ascii="Consolas" w:hAnsi="Consolas"/>
                <w:color w:val="1F4E79"/>
                <w:sz w:val="19"/>
              </w:rPr>
              <w:t>AccessDenied</w:t>
            </w:r>
            <w:r>
              <w:rPr>
                <w:sz w:val="19"/>
              </w:rPr>
              <w:t xml:space="preserve"> on </w:t>
            </w:r>
            <w:r>
              <w:rPr>
                <w:rFonts w:ascii="Consolas" w:hAnsi="Consolas"/>
                <w:color w:val="1F4E79"/>
                <w:sz w:val="19"/>
              </w:rPr>
              <w:t>iam:CreateRole</w:t>
            </w:r>
          </w:p>
        </w:tc>
        <w:tc>
          <w:tcPr>
            <w:tcW w:type="dxa" w:w="4680"/>
          </w:tcPr>
          <w:p>
            <w:pPr>
              <w:spacing w:after="40" w:before="40"/>
            </w:pPr>
            <w:r>
              <w:rPr>
                <w:sz w:val="19"/>
              </w:rPr>
            </w:r>
            <w:r>
              <w:rPr>
                <w:sz w:val="19"/>
              </w:rPr>
              <w:t>the deployment is creating a role it should import — a bug, report it</w:t>
            </w:r>
          </w:p>
        </w:tc>
      </w:tr>
      <w:tr>
        <w:tc>
          <w:tcPr>
            <w:tcW w:type="dxa" w:w="4680"/>
          </w:tcPr>
          <w:p>
            <w:pPr>
              <w:spacing w:after="40" w:before="40"/>
            </w:pPr>
            <w:r>
              <w:rPr>
                <w:sz w:val="19"/>
              </w:rPr>
            </w:r>
            <w:r>
              <w:rPr>
                <w:rFonts w:ascii="Consolas" w:hAnsi="Consolas"/>
                <w:color w:val="1F4E79"/>
                <w:sz w:val="19"/>
              </w:rPr>
              <w:t>AccessDenied</w:t>
            </w:r>
            <w:r>
              <w:rPr>
                <w:sz w:val="19"/>
              </w:rPr>
              <w:t xml:space="preserve"> on </w:t>
            </w:r>
            <w:r>
              <w:rPr>
                <w:rFonts w:ascii="Consolas" w:hAnsi="Consolas"/>
                <w:color w:val="1F4E79"/>
                <w:sz w:val="19"/>
              </w:rPr>
              <w:t>ec2:CreateSecurityGroup</w:t>
            </w:r>
          </w:p>
        </w:tc>
        <w:tc>
          <w:tcPr>
            <w:tcW w:type="dxa" w:w="4680"/>
          </w:tcPr>
          <w:p>
            <w:pPr>
              <w:spacing w:after="40" w:before="40"/>
            </w:pPr>
            <w:r>
              <w:rPr>
                <w:sz w:val="19"/>
              </w:rPr>
            </w:r>
            <w:r>
              <w:rPr>
                <w:sz w:val="19"/>
              </w:rPr>
              <w:t>same, for security groups</w:t>
            </w:r>
          </w:p>
        </w:tc>
      </w:tr>
      <w:tr>
        <w:tc>
          <w:tcPr>
            <w:tcW w:type="dxa" w:w="4680"/>
          </w:tcPr>
          <w:p>
            <w:pPr>
              <w:spacing w:after="40" w:before="40"/>
            </w:pPr>
            <w:r>
              <w:rPr>
                <w:sz w:val="19"/>
              </w:rPr>
            </w:r>
            <w:r>
              <w:rPr>
                <w:b/>
                <w:sz w:val="19"/>
              </w:rPr>
              <w:t>Deploy succeeds, a feature fails with access-denied</w:t>
            </w:r>
          </w:p>
        </w:tc>
        <w:tc>
          <w:tcPr>
            <w:tcW w:type="dxa" w:w="4680"/>
          </w:tcPr>
          <w:p>
            <w:pPr>
              <w:spacing w:after="40" w:before="40"/>
            </w:pPr>
            <w:r>
              <w:rPr>
                <w:sz w:val="19"/>
              </w:rPr>
            </w:r>
            <w:r>
              <w:rPr>
                <w:sz w:val="19"/>
              </w:rPr>
              <w:t>a role name in step 5 does not match, or a statement is missing from its policy</w:t>
            </w:r>
          </w:p>
        </w:tc>
      </w:tr>
      <w:tr>
        <w:tc>
          <w:tcPr>
            <w:tcW w:type="dxa" w:w="4680"/>
          </w:tcPr>
          <w:p>
            <w:pPr>
              <w:spacing w:after="40" w:before="40"/>
            </w:pPr>
            <w:r>
              <w:rPr>
                <w:sz w:val="19"/>
              </w:rPr>
            </w:r>
            <w:r>
              <w:rPr>
                <w:rFonts w:ascii="Consolas" w:hAnsi="Consolas"/>
                <w:color w:val="1F4E79"/>
                <w:sz w:val="19"/>
              </w:rPr>
              <w:t>AccessDenied</w:t>
            </w:r>
            <w:r>
              <w:rPr>
                <w:sz w:val="19"/>
              </w:rPr>
              <w:t xml:space="preserve"> on </w:t>
            </w:r>
            <w:r>
              <w:rPr>
                <w:rFonts w:ascii="Consolas" w:hAnsi="Consolas"/>
                <w:color w:val="1F4E79"/>
                <w:sz w:val="19"/>
              </w:rPr>
              <w:t>logs:PutResourcePolicy</w:t>
            </w:r>
          </w:p>
        </w:tc>
        <w:tc>
          <w:tcPr>
            <w:tcW w:type="dxa" w:w="4680"/>
          </w:tcPr>
          <w:p>
            <w:pPr>
              <w:spacing w:after="40" w:before="40"/>
            </w:pPr>
            <w:r>
              <w:rPr>
                <w:sz w:val="19"/>
              </w:rPr>
            </w:r>
            <w:r>
              <w:rPr>
                <w:sz w:val="19"/>
              </w:rPr>
              <w:t>the deploying principal needs this; see step 7</w:t>
            </w:r>
          </w:p>
        </w:tc>
      </w:tr>
      <w:tr>
        <w:tc>
          <w:tcPr>
            <w:tcW w:type="dxa" w:w="4680"/>
          </w:tcPr>
          <w:p>
            <w:pPr>
              <w:spacing w:after="40" w:before="40"/>
            </w:pPr>
            <w:r>
              <w:rPr>
                <w:sz w:val="19"/>
              </w:rPr>
            </w:r>
            <w:r>
              <w:rPr>
                <w:sz w:val="19"/>
              </w:rPr>
              <w:t>Synth fails listing config fields</w:t>
            </w:r>
          </w:p>
        </w:tc>
        <w:tc>
          <w:tcPr>
            <w:tcW w:type="dxa" w:w="4680"/>
          </w:tcPr>
          <w:p>
            <w:pPr>
              <w:spacing w:after="40" w:before="40"/>
            </w:pPr>
            <w:r>
              <w:rPr>
                <w:sz w:val="19"/>
              </w:rPr>
            </w:r>
            <w:r>
              <w:rPr>
                <w:sz w:val="19"/>
              </w:rPr>
              <w:t>step 6 is incomplete — the message names each one</w:t>
            </w:r>
          </w:p>
        </w:tc>
      </w:tr>
      <w:tr>
        <w:tc>
          <w:tcPr>
            <w:tcW w:type="dxa" w:w="4680"/>
          </w:tcPr>
          <w:p>
            <w:pPr>
              <w:spacing w:after="40" w:before="40"/>
            </w:pPr>
            <w:r>
              <w:rPr>
                <w:sz w:val="19"/>
              </w:rPr>
            </w:r>
            <w:r>
              <w:rPr>
                <w:sz w:val="19"/>
              </w:rPr>
              <w:t>Fails before any stack starts</w:t>
            </w:r>
          </w:p>
        </w:tc>
        <w:tc>
          <w:tcPr>
            <w:tcW w:type="dxa" w:w="4680"/>
          </w:tcPr>
          <w:p>
            <w:pPr>
              <w:spacing w:after="40" w:before="40"/>
            </w:pPr>
            <w:r>
              <w:rPr>
                <w:sz w:val="19"/>
              </w:rPr>
            </w:r>
            <w:r>
              <w:rPr>
                <w:sz w:val="19"/>
              </w:rPr>
              <w:t xml:space="preserve">the </w:t>
            </w:r>
            <w:r>
              <w:rPr>
                <w:rFonts w:ascii="Consolas" w:hAnsi="Consolas"/>
                <w:color w:val="1F4E79"/>
                <w:sz w:val="19"/>
              </w:rPr>
              <w:t>CDKToolkit</w:t>
            </w:r>
            <w:r>
              <w:rPr>
                <w:sz w:val="19"/>
              </w:rPr>
              <w:t xml:space="preserve"> stack is missing in this region — step 2</w:t>
            </w:r>
          </w:p>
        </w:tc>
      </w:tr>
      <w:tr>
        <w:tc>
          <w:tcPr>
            <w:tcW w:type="dxa" w:w="4680"/>
          </w:tcPr>
          <w:p>
            <w:pPr>
              <w:spacing w:after="40" w:before="40"/>
            </w:pPr>
            <w:r>
              <w:rPr>
                <w:sz w:val="19"/>
              </w:rPr>
            </w:r>
            <w:r>
              <w:rPr>
                <w:sz w:val="19"/>
              </w:rPr>
              <w:t>AgentCore or OpenSearch fails late</w:t>
            </w:r>
          </w:p>
        </w:tc>
        <w:tc>
          <w:tcPr>
            <w:tcW w:type="dxa" w:w="4680"/>
          </w:tcPr>
          <w:p>
            <w:pPr>
              <w:spacing w:after="40" w:before="40"/>
            </w:pPr>
            <w:r>
              <w:rPr>
                <w:sz w:val="19"/>
              </w:rPr>
            </w:r>
            <w:r>
              <w:rPr>
                <w:sz w:val="19"/>
              </w:rPr>
              <w:t>the subnets are in the wrong AZs — step 1</w:t>
            </w:r>
          </w:p>
        </w:tc>
      </w:tr>
    </w:tbl>
    <w:p>
      <w:pPr>
        <w:spacing w:after="80"/>
      </w:pPr>
    </w:p>
    <w:p>
      <w:r>
        <w:t xml:space="preserve">The third row is the one to watch. It does </w:t>
      </w:r>
      <w:r>
        <w:rPr>
          <w:b/>
        </w:rPr>
        <w:t>not</w:t>
      </w:r>
      <w:r>
        <w:t xml:space="preserve"> fail the deployment, because an imported role that does not exist is only discovered when something tries to use it. If you see access-denied at runtime, compare the role name in the error against </w:t>
      </w:r>
      <w:r>
        <w:rPr>
          <w:rFonts w:ascii="Consolas" w:hAnsi="Consolas"/>
          <w:color w:val="1F4E79"/>
          <w:sz w:val="18"/>
        </w:rPr>
        <w:t>pvt_vpc/iam-package/roles/</w:t>
      </w:r>
      <w:r>
        <w:t>.</w:t>
      </w:r>
    </w:p>
    <w:p>
      <w:pPr>
        <w:pBdr>
          <w:bottom w:val="single" w:sz="6" w:color="BFBFBF"/>
        </w:pBdr>
      </w:pPr>
    </w:p>
    <w:p>
      <w:pPr>
        <w:pStyle w:val="Heading1"/>
        <w:spacing w:before="320"/>
      </w:pPr>
      <w:r>
        <w:rPr>
          <w:color w:val="1F4E79"/>
          <w:sz w:val="30"/>
        </w:rPr>
        <w:t>Rehearsing this before a client runs it</w:t>
      </w:r>
    </w:p>
    <w:p>
      <w:r>
        <w:rPr>
          <w:rFonts w:ascii="Consolas" w:hAnsi="Consolas"/>
          <w:color w:val="1F4E79"/>
          <w:sz w:val="18"/>
        </w:rPr>
        <w:t>pvt_vpc/testing/</w:t>
      </w:r>
      <w:r>
        <w:t xml:space="preserve"> has a deny policy and a runbook for reproducing these restrictions in an account you control. An admin account cannot test this flow — every </w:t>
      </w:r>
      <w:r>
        <w:rPr>
          <w:rFonts w:ascii="Consolas" w:hAnsi="Consolas"/>
          <w:color w:val="1F4E79"/>
          <w:sz w:val="18"/>
        </w:rPr>
        <w:t>iam:CreateRole</w:t>
      </w:r>
      <w:r>
        <w:t xml:space="preserve"> succeeds, so the deployment passes whether or not the code is right, and the first real failure lands in the client's account.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