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61C7E" w14:textId="77777777" w:rsidR="002E309E" w:rsidRDefault="002E309E" w:rsidP="002E309E">
      <w:pPr>
        <w:pStyle w:val="Title"/>
      </w:pPr>
      <w:r>
        <w:t>Service Level Agreement (SLA)</w:t>
      </w:r>
    </w:p>
    <w:p w14:paraId="2BA41877" w14:textId="1BC8E22D" w:rsidR="00E6543A" w:rsidRDefault="00A94C60" w:rsidP="002E309E">
      <w:pPr>
        <w:pStyle w:val="Subtitle"/>
      </w:pPr>
      <w:r>
        <w:t>Enterprise Team Foundation Server</w:t>
      </w:r>
      <w:r w:rsidR="00016142">
        <w:t xml:space="preserve"> (ETFS)</w:t>
      </w:r>
    </w:p>
    <w:p w14:paraId="3FCDDE47" w14:textId="47EEACC5" w:rsidR="00123CD2" w:rsidRPr="00123CD2" w:rsidRDefault="00123CD2" w:rsidP="00123CD2">
      <w:pPr>
        <w:rPr>
          <w:sz w:val="16"/>
          <w:szCs w:val="16"/>
        </w:rPr>
      </w:pPr>
      <w:r w:rsidRPr="00123CD2">
        <w:rPr>
          <w:sz w:val="16"/>
          <w:szCs w:val="16"/>
        </w:rPr>
        <w:t xml:space="preserve">Last Update:  </w:t>
      </w:r>
      <w:r w:rsidRPr="00123CD2">
        <w:rPr>
          <w:sz w:val="16"/>
          <w:szCs w:val="16"/>
        </w:rPr>
        <w:fldChar w:fldCharType="begin"/>
      </w:r>
      <w:r w:rsidRPr="00123CD2">
        <w:rPr>
          <w:sz w:val="16"/>
          <w:szCs w:val="16"/>
        </w:rPr>
        <w:instrText xml:space="preserve"> DATE \@ "M/d/yyyy" </w:instrText>
      </w:r>
      <w:r w:rsidRPr="00123CD2">
        <w:rPr>
          <w:sz w:val="16"/>
          <w:szCs w:val="16"/>
        </w:rPr>
        <w:fldChar w:fldCharType="separate"/>
      </w:r>
      <w:r w:rsidR="00D141F2">
        <w:rPr>
          <w:noProof/>
          <w:sz w:val="16"/>
          <w:szCs w:val="16"/>
        </w:rPr>
        <w:t>9/24/2014</w:t>
      </w:r>
      <w:r w:rsidRPr="00123CD2">
        <w:rPr>
          <w:sz w:val="16"/>
          <w:szCs w:val="16"/>
        </w:rPr>
        <w:fldChar w:fldCharType="end"/>
      </w:r>
    </w:p>
    <w:p w14:paraId="2C9B8358" w14:textId="77777777" w:rsidR="002E309E" w:rsidRDefault="002E309E"/>
    <w:p w14:paraId="650AA155" w14:textId="77777777" w:rsidR="002E309E" w:rsidRDefault="002E309E" w:rsidP="002E309E">
      <w:pPr>
        <w:pStyle w:val="Heading1"/>
      </w:pPr>
      <w:r>
        <w:t>Introduction</w:t>
      </w:r>
    </w:p>
    <w:p w14:paraId="6D4F4638" w14:textId="087FF54C" w:rsidR="00F4425C" w:rsidRDefault="003F5569">
      <w:r>
        <w:t>This is a Service Level Agreement for Enterprise Team Foundation Server</w:t>
      </w:r>
      <w:r w:rsidR="00F4425C">
        <w:t xml:space="preserve"> services.  The principles outlined below are for the la</w:t>
      </w:r>
      <w:bookmarkStart w:id="0" w:name="_GoBack"/>
      <w:bookmarkEnd w:id="0"/>
      <w:r w:rsidR="00F4425C">
        <w:t>unch</w:t>
      </w:r>
      <w:r w:rsidR="002E309E">
        <w:t>ed</w:t>
      </w:r>
      <w:r w:rsidR="00F4425C">
        <w:t xml:space="preserve"> ETFS Service</w:t>
      </w:r>
      <w:r w:rsidR="0085326C">
        <w:t xml:space="preserve">, and apply to any 3M division, business unit or team that uses the Enterprise Team Foundation Server (ETFS).  More information can be found on the ETFS Website:  </w:t>
      </w:r>
      <w:hyperlink r:id="rId10" w:history="1">
        <w:r w:rsidR="0085326C" w:rsidRPr="00B459D3">
          <w:rPr>
            <w:rStyle w:val="Hyperlink"/>
          </w:rPr>
          <w:t>http://tfs.mmm.com</w:t>
        </w:r>
      </w:hyperlink>
    </w:p>
    <w:p w14:paraId="4300D8F9" w14:textId="77777777" w:rsidR="00D24CD7" w:rsidRDefault="00D24CD7" w:rsidP="002E309E">
      <w:pPr>
        <w:pStyle w:val="Heading1"/>
      </w:pPr>
      <w:r>
        <w:t>Support</w:t>
      </w:r>
    </w:p>
    <w:p w14:paraId="62352292" w14:textId="576DC415" w:rsidR="00F4425C" w:rsidRDefault="003F5569">
      <w:r>
        <w:t>Support will be provided for the system from the IT Support hotline</w:t>
      </w:r>
      <w:r w:rsidR="00016142">
        <w:t xml:space="preserve"> (651) 733-1000</w:t>
      </w:r>
      <w:r>
        <w:t xml:space="preserve"> and website (</w:t>
      </w:r>
      <w:hyperlink r:id="rId11" w:history="1">
        <w:r w:rsidRPr="00FD2DD5">
          <w:rPr>
            <w:rStyle w:val="Hyperlink"/>
          </w:rPr>
          <w:t>http://ithelp.mmm.com</w:t>
        </w:r>
      </w:hyperlink>
      <w:r>
        <w:t>)</w:t>
      </w:r>
      <w:r w:rsidR="00F4425C">
        <w:t xml:space="preserve">.  </w:t>
      </w:r>
      <w:r w:rsidR="004E51A0">
        <w:t>Support requests will be handled using the common IT Service Manager (ITSM) framework.</w:t>
      </w:r>
      <w:r w:rsidR="00405216">
        <w:t xml:space="preserve">  Below are the goal times for responding and closing support requests.</w:t>
      </w:r>
    </w:p>
    <w:tbl>
      <w:tblPr>
        <w:tblStyle w:val="NormalRangerTable"/>
        <w:tblW w:w="5000" w:type="pct"/>
        <w:tblLook w:val="04A0" w:firstRow="1" w:lastRow="0" w:firstColumn="1" w:lastColumn="0" w:noHBand="0" w:noVBand="1"/>
      </w:tblPr>
      <w:tblGrid>
        <w:gridCol w:w="3281"/>
        <w:gridCol w:w="1064"/>
        <w:gridCol w:w="1770"/>
        <w:gridCol w:w="1656"/>
        <w:gridCol w:w="1583"/>
      </w:tblGrid>
      <w:tr w:rsidR="00BE6A51" w:rsidRPr="00BE6A51" w14:paraId="06E4C972" w14:textId="77777777" w:rsidTr="00405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4" w:type="pct"/>
          </w:tcPr>
          <w:p w14:paraId="790E1BF6" w14:textId="4849AD0F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 Name</w:t>
            </w:r>
          </w:p>
        </w:tc>
        <w:tc>
          <w:tcPr>
            <w:tcW w:w="569" w:type="pct"/>
          </w:tcPr>
          <w:p w14:paraId="2D53A2E8" w14:textId="4D80ED58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</w:tc>
        <w:tc>
          <w:tcPr>
            <w:tcW w:w="946" w:type="pct"/>
          </w:tcPr>
          <w:p w14:paraId="7C9D5F8A" w14:textId="661E3217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</w:t>
            </w:r>
          </w:p>
        </w:tc>
        <w:tc>
          <w:tcPr>
            <w:tcW w:w="885" w:type="pct"/>
          </w:tcPr>
          <w:p w14:paraId="3C67395A" w14:textId="2F74967D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 (</w:t>
            </w:r>
            <w:proofErr w:type="spellStart"/>
            <w:r>
              <w:rPr>
                <w:sz w:val="18"/>
                <w:szCs w:val="18"/>
              </w:rPr>
              <w:t>Mins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46" w:type="pct"/>
          </w:tcPr>
          <w:p w14:paraId="5F101439" w14:textId="26BE1619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Calendar</w:t>
            </w:r>
          </w:p>
        </w:tc>
      </w:tr>
      <w:tr w:rsidR="00405216" w:rsidRPr="00BE6A51" w14:paraId="6496BE21" w14:textId="77777777" w:rsidTr="00405216">
        <w:tc>
          <w:tcPr>
            <w:tcW w:w="1754" w:type="pct"/>
          </w:tcPr>
          <w:p w14:paraId="26FFD4CC" w14:textId="3E294C32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– Priority 1</w:t>
            </w:r>
          </w:p>
        </w:tc>
        <w:tc>
          <w:tcPr>
            <w:tcW w:w="569" w:type="pct"/>
          </w:tcPr>
          <w:p w14:paraId="3F936F59" w14:textId="582CE449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16238FFD" w14:textId="4476C22F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  <w:tc>
          <w:tcPr>
            <w:tcW w:w="885" w:type="pct"/>
          </w:tcPr>
          <w:p w14:paraId="6D578A8A" w14:textId="2661510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846" w:type="pct"/>
          </w:tcPr>
          <w:p w14:paraId="526AC1B9" w14:textId="7AD9ED2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2C234FEF" w14:textId="77777777" w:rsidTr="00405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4" w:type="pct"/>
          </w:tcPr>
          <w:p w14:paraId="20C765BE" w14:textId="6409D303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– Priority 2</w:t>
            </w:r>
          </w:p>
        </w:tc>
        <w:tc>
          <w:tcPr>
            <w:tcW w:w="569" w:type="pct"/>
          </w:tcPr>
          <w:p w14:paraId="1C96F1F5" w14:textId="77DD8F1D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65CD05DD" w14:textId="5419AE2E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  <w:tc>
          <w:tcPr>
            <w:tcW w:w="885" w:type="pct"/>
          </w:tcPr>
          <w:p w14:paraId="0566E287" w14:textId="7E6DD9C5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  <w:tc>
          <w:tcPr>
            <w:tcW w:w="846" w:type="pct"/>
          </w:tcPr>
          <w:p w14:paraId="570D1674" w14:textId="30DB6F2D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71294E76" w14:textId="77777777" w:rsidTr="00405216">
        <w:tc>
          <w:tcPr>
            <w:tcW w:w="1754" w:type="pct"/>
          </w:tcPr>
          <w:p w14:paraId="5F2793E9" w14:textId="5D81D09C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 – </w:t>
            </w:r>
            <w:r w:rsidR="00405216">
              <w:rPr>
                <w:sz w:val="18"/>
                <w:szCs w:val="18"/>
              </w:rPr>
              <w:t>Priority</w:t>
            </w:r>
            <w:r>
              <w:rPr>
                <w:sz w:val="18"/>
                <w:szCs w:val="18"/>
              </w:rPr>
              <w:t xml:space="preserve"> 3</w:t>
            </w:r>
          </w:p>
        </w:tc>
        <w:tc>
          <w:tcPr>
            <w:tcW w:w="569" w:type="pct"/>
          </w:tcPr>
          <w:p w14:paraId="0C6240EB" w14:textId="09C84DEA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306120BC" w14:textId="783C05C8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  <w:tc>
          <w:tcPr>
            <w:tcW w:w="885" w:type="pct"/>
          </w:tcPr>
          <w:p w14:paraId="193189F7" w14:textId="0FBD3729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2,880</w:t>
            </w:r>
          </w:p>
        </w:tc>
        <w:tc>
          <w:tcPr>
            <w:tcW w:w="846" w:type="pct"/>
          </w:tcPr>
          <w:p w14:paraId="1C868F04" w14:textId="6D44CE90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53EDE903" w14:textId="77777777" w:rsidTr="00405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4" w:type="pct"/>
          </w:tcPr>
          <w:p w14:paraId="0D58B388" w14:textId="4C56030A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– Priority 4</w:t>
            </w:r>
          </w:p>
        </w:tc>
        <w:tc>
          <w:tcPr>
            <w:tcW w:w="569" w:type="pct"/>
          </w:tcPr>
          <w:p w14:paraId="1EEC3296" w14:textId="6461BF9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665D7796" w14:textId="31B6B927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  <w:tc>
          <w:tcPr>
            <w:tcW w:w="885" w:type="pct"/>
          </w:tcPr>
          <w:p w14:paraId="2AC1A031" w14:textId="68F9D1B8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4,320</w:t>
            </w:r>
          </w:p>
        </w:tc>
        <w:tc>
          <w:tcPr>
            <w:tcW w:w="846" w:type="pct"/>
          </w:tcPr>
          <w:p w14:paraId="612B4473" w14:textId="03B5538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15546005" w14:textId="77777777" w:rsidTr="00405216">
        <w:tc>
          <w:tcPr>
            <w:tcW w:w="1754" w:type="pct"/>
          </w:tcPr>
          <w:p w14:paraId="4982D01E" w14:textId="13E7A1C4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 – Priority 1</w:t>
            </w:r>
          </w:p>
        </w:tc>
        <w:tc>
          <w:tcPr>
            <w:tcW w:w="569" w:type="pct"/>
          </w:tcPr>
          <w:p w14:paraId="3A76E0A5" w14:textId="14FF8C1A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7D94FA4C" w14:textId="452B0405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In Progress</w:t>
            </w:r>
          </w:p>
        </w:tc>
        <w:tc>
          <w:tcPr>
            <w:tcW w:w="885" w:type="pct"/>
          </w:tcPr>
          <w:p w14:paraId="57532613" w14:textId="6871D34B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46" w:type="pct"/>
          </w:tcPr>
          <w:p w14:paraId="2BE89978" w14:textId="5E51A35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63B24533" w14:textId="77777777" w:rsidTr="00405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4" w:type="pct"/>
          </w:tcPr>
          <w:p w14:paraId="1B45923A" w14:textId="1213A5CD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 – Priority 2</w:t>
            </w:r>
          </w:p>
        </w:tc>
        <w:tc>
          <w:tcPr>
            <w:tcW w:w="569" w:type="pct"/>
          </w:tcPr>
          <w:p w14:paraId="57077B95" w14:textId="2AAE742C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551CEC07" w14:textId="1D91FE9A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In Progress</w:t>
            </w:r>
          </w:p>
        </w:tc>
        <w:tc>
          <w:tcPr>
            <w:tcW w:w="885" w:type="pct"/>
          </w:tcPr>
          <w:p w14:paraId="5197ADC5" w14:textId="71C3D1B7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846" w:type="pct"/>
          </w:tcPr>
          <w:p w14:paraId="42F2479E" w14:textId="7CF3A61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5C10A0AE" w14:textId="77777777" w:rsidTr="00405216">
        <w:tc>
          <w:tcPr>
            <w:tcW w:w="1754" w:type="pct"/>
          </w:tcPr>
          <w:p w14:paraId="5C352ECB" w14:textId="672CF3BC" w:rsidR="00BE6A51" w:rsidRP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 – Priority 3</w:t>
            </w:r>
          </w:p>
        </w:tc>
        <w:tc>
          <w:tcPr>
            <w:tcW w:w="569" w:type="pct"/>
          </w:tcPr>
          <w:p w14:paraId="7F50FB82" w14:textId="01AB94B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60CD9B4B" w14:textId="04E12AE0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In Progress</w:t>
            </w:r>
          </w:p>
        </w:tc>
        <w:tc>
          <w:tcPr>
            <w:tcW w:w="885" w:type="pct"/>
          </w:tcPr>
          <w:p w14:paraId="4ACB69D5" w14:textId="005141C9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846" w:type="pct"/>
          </w:tcPr>
          <w:p w14:paraId="78A7E532" w14:textId="2A3741EE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  <w:tr w:rsidR="00405216" w:rsidRPr="00BE6A51" w14:paraId="30C39334" w14:textId="77777777" w:rsidTr="004052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54" w:type="pct"/>
          </w:tcPr>
          <w:p w14:paraId="0B3879C7" w14:textId="0DEAA8F7" w:rsidR="00BE6A51" w:rsidRDefault="00BE6A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 – Priority 4</w:t>
            </w:r>
          </w:p>
        </w:tc>
        <w:tc>
          <w:tcPr>
            <w:tcW w:w="569" w:type="pct"/>
          </w:tcPr>
          <w:p w14:paraId="10A47261" w14:textId="2E747344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946" w:type="pct"/>
          </w:tcPr>
          <w:p w14:paraId="0FC4B7BA" w14:textId="4D367E15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In Progress</w:t>
            </w:r>
          </w:p>
        </w:tc>
        <w:tc>
          <w:tcPr>
            <w:tcW w:w="885" w:type="pct"/>
          </w:tcPr>
          <w:p w14:paraId="08C90ECD" w14:textId="52EF7807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1,440</w:t>
            </w:r>
          </w:p>
        </w:tc>
        <w:tc>
          <w:tcPr>
            <w:tcW w:w="846" w:type="pct"/>
          </w:tcPr>
          <w:p w14:paraId="244972BD" w14:textId="24E91A42" w:rsidR="00BE6A51" w:rsidRPr="00BE6A51" w:rsidRDefault="00405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x 7 x 365</w:t>
            </w:r>
          </w:p>
        </w:tc>
      </w:tr>
    </w:tbl>
    <w:p w14:paraId="42E0D8C5" w14:textId="77777777" w:rsidR="00BE6A51" w:rsidRDefault="00BE6A51"/>
    <w:p w14:paraId="7D2F8730" w14:textId="3C3150CC" w:rsidR="002A2498" w:rsidRDefault="002A2498" w:rsidP="002E309E">
      <w:pPr>
        <w:pStyle w:val="Heading1"/>
      </w:pPr>
      <w:r>
        <w:t>System Maintenance Service Windows</w:t>
      </w:r>
    </w:p>
    <w:p w14:paraId="246C4303" w14:textId="57793FD4" w:rsidR="002A2498" w:rsidRPr="002A2498" w:rsidRDefault="002A2498" w:rsidP="002A2498">
      <w:r>
        <w:t>Necessary maintenance will be performed during scheduled service windows</w:t>
      </w:r>
      <w:r w:rsidR="002E309E">
        <w:t xml:space="preserve"> dur</w:t>
      </w:r>
      <w:r w:rsidR="004E51A0">
        <w:t>ing non-business critical times.  Service windows will be announced 30 days prior</w:t>
      </w:r>
      <w:r w:rsidR="00254880">
        <w:t xml:space="preserve"> on the ETFS website.</w:t>
      </w:r>
    </w:p>
    <w:p w14:paraId="7E4E3696" w14:textId="77777777" w:rsidR="00123CD2" w:rsidRDefault="00123CD2" w:rsidP="00123CD2">
      <w:pPr>
        <w:pStyle w:val="Heading1"/>
      </w:pPr>
      <w:r>
        <w:t>Uptime</w:t>
      </w:r>
    </w:p>
    <w:p w14:paraId="1991084A" w14:textId="77777777" w:rsidR="00123CD2" w:rsidRDefault="00123CD2" w:rsidP="00123CD2">
      <w:r>
        <w:t>Predicted up time for the service will be 99.9% or better.  Below is a correlation of % availability to calendar downtime.</w:t>
      </w:r>
    </w:p>
    <w:tbl>
      <w:tblPr>
        <w:tblStyle w:val="NormalRangerTable"/>
        <w:tblW w:w="0" w:type="auto"/>
        <w:tblLook w:val="04A0" w:firstRow="1" w:lastRow="0" w:firstColumn="1" w:lastColumn="0" w:noHBand="0" w:noVBand="1"/>
      </w:tblPr>
      <w:tblGrid>
        <w:gridCol w:w="3237"/>
        <w:gridCol w:w="2039"/>
        <w:gridCol w:w="2039"/>
        <w:gridCol w:w="2039"/>
      </w:tblGrid>
      <w:tr w:rsidR="00123CD2" w:rsidRPr="002E309E" w14:paraId="7EE02110" w14:textId="77777777" w:rsidTr="006D0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0" w:type="dxa"/>
          </w:tcPr>
          <w:p w14:paraId="6BF7B2A8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 w:rsidRPr="002E309E">
              <w:rPr>
                <w:sz w:val="18"/>
                <w:szCs w:val="18"/>
              </w:rPr>
              <w:t>Acceptable availability percentage</w:t>
            </w:r>
          </w:p>
        </w:tc>
        <w:tc>
          <w:tcPr>
            <w:tcW w:w="2040" w:type="dxa"/>
          </w:tcPr>
          <w:p w14:paraId="188DC494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Downtime per day</w:t>
            </w:r>
          </w:p>
        </w:tc>
        <w:tc>
          <w:tcPr>
            <w:tcW w:w="2040" w:type="dxa"/>
          </w:tcPr>
          <w:p w14:paraId="11BB2AD3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Downtime per month</w:t>
            </w:r>
          </w:p>
        </w:tc>
        <w:tc>
          <w:tcPr>
            <w:tcW w:w="2040" w:type="dxa"/>
          </w:tcPr>
          <w:p w14:paraId="546697F3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Downtime per year</w:t>
            </w:r>
          </w:p>
        </w:tc>
      </w:tr>
      <w:tr w:rsidR="00123CD2" w:rsidRPr="002E309E" w14:paraId="76C2E11B" w14:textId="77777777" w:rsidTr="006D010E">
        <w:tc>
          <w:tcPr>
            <w:tcW w:w="3240" w:type="dxa"/>
          </w:tcPr>
          <w:p w14:paraId="77615034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(one nine)</w:t>
            </w:r>
          </w:p>
        </w:tc>
        <w:tc>
          <w:tcPr>
            <w:tcW w:w="2040" w:type="dxa"/>
          </w:tcPr>
          <w:p w14:paraId="6B4EE295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144.00 minutes</w:t>
            </w:r>
          </w:p>
        </w:tc>
        <w:tc>
          <w:tcPr>
            <w:tcW w:w="2040" w:type="dxa"/>
          </w:tcPr>
          <w:p w14:paraId="4C576C88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 hours</w:t>
            </w:r>
          </w:p>
        </w:tc>
        <w:tc>
          <w:tcPr>
            <w:tcW w:w="2040" w:type="dxa"/>
          </w:tcPr>
          <w:p w14:paraId="50EB87BB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 days</w:t>
            </w:r>
          </w:p>
        </w:tc>
      </w:tr>
      <w:tr w:rsidR="00123CD2" w:rsidRPr="002E309E" w14:paraId="54914F95" w14:textId="77777777" w:rsidTr="006D0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14:paraId="2D42B049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(two nines)</w:t>
            </w:r>
          </w:p>
        </w:tc>
        <w:tc>
          <w:tcPr>
            <w:tcW w:w="2040" w:type="dxa"/>
          </w:tcPr>
          <w:p w14:paraId="7271B483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14.40 minutes</w:t>
            </w:r>
          </w:p>
        </w:tc>
        <w:tc>
          <w:tcPr>
            <w:tcW w:w="2040" w:type="dxa"/>
          </w:tcPr>
          <w:p w14:paraId="0F26F72F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hours</w:t>
            </w:r>
          </w:p>
        </w:tc>
        <w:tc>
          <w:tcPr>
            <w:tcW w:w="2040" w:type="dxa"/>
          </w:tcPr>
          <w:p w14:paraId="64E587A2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3.65 days</w:t>
            </w:r>
          </w:p>
        </w:tc>
      </w:tr>
      <w:tr w:rsidR="00123CD2" w:rsidRPr="002E309E" w14:paraId="5E7C940D" w14:textId="77777777" w:rsidTr="006D010E">
        <w:tc>
          <w:tcPr>
            <w:tcW w:w="3240" w:type="dxa"/>
            <w:shd w:val="clear" w:color="auto" w:fill="C45911" w:themeFill="accent2" w:themeFillShade="BF"/>
          </w:tcPr>
          <w:p w14:paraId="65A6D906" w14:textId="77777777" w:rsidR="00123CD2" w:rsidRPr="004E51A0" w:rsidRDefault="00123CD2" w:rsidP="006D010E">
            <w:pPr>
              <w:rPr>
                <w:color w:val="FFFFFF" w:themeColor="background1"/>
                <w:sz w:val="18"/>
                <w:szCs w:val="18"/>
              </w:rPr>
            </w:pPr>
            <w:r w:rsidRPr="004E51A0">
              <w:rPr>
                <w:color w:val="FFFFFF" w:themeColor="background1"/>
                <w:sz w:val="18"/>
                <w:szCs w:val="18"/>
              </w:rPr>
              <w:t>99.9 (three nines)</w:t>
            </w:r>
          </w:p>
        </w:tc>
        <w:tc>
          <w:tcPr>
            <w:tcW w:w="2040" w:type="dxa"/>
            <w:shd w:val="clear" w:color="auto" w:fill="C45911" w:themeFill="accent2" w:themeFillShade="BF"/>
          </w:tcPr>
          <w:p w14:paraId="4CE0A979" w14:textId="77777777" w:rsidR="00123CD2" w:rsidRPr="004E51A0" w:rsidRDefault="00123CD2" w:rsidP="006D010E">
            <w:pPr>
              <w:rPr>
                <w:color w:val="FFFFFF" w:themeColor="background1"/>
                <w:sz w:val="18"/>
                <w:szCs w:val="18"/>
              </w:rPr>
            </w:pPr>
            <w:r w:rsidRPr="004E51A0">
              <w:rPr>
                <w:color w:val="FFFFFF" w:themeColor="background1"/>
                <w:sz w:val="18"/>
                <w:szCs w:val="18"/>
              </w:rPr>
              <w:t>86.40 seconds</w:t>
            </w:r>
          </w:p>
        </w:tc>
        <w:tc>
          <w:tcPr>
            <w:tcW w:w="2040" w:type="dxa"/>
            <w:shd w:val="clear" w:color="auto" w:fill="C45911" w:themeFill="accent2" w:themeFillShade="BF"/>
          </w:tcPr>
          <w:p w14:paraId="61D26F2E" w14:textId="77777777" w:rsidR="00123CD2" w:rsidRPr="004E51A0" w:rsidRDefault="00123CD2" w:rsidP="006D010E">
            <w:pPr>
              <w:rPr>
                <w:color w:val="FFFFFF" w:themeColor="background1"/>
                <w:sz w:val="18"/>
                <w:szCs w:val="18"/>
              </w:rPr>
            </w:pPr>
            <w:r w:rsidRPr="004E51A0">
              <w:rPr>
                <w:color w:val="FFFFFF" w:themeColor="background1"/>
                <w:sz w:val="18"/>
                <w:szCs w:val="18"/>
              </w:rPr>
              <w:t>43 minutes</w:t>
            </w:r>
          </w:p>
        </w:tc>
        <w:tc>
          <w:tcPr>
            <w:tcW w:w="2040" w:type="dxa"/>
            <w:shd w:val="clear" w:color="auto" w:fill="C45911" w:themeFill="accent2" w:themeFillShade="BF"/>
          </w:tcPr>
          <w:p w14:paraId="61002AF3" w14:textId="77777777" w:rsidR="00123CD2" w:rsidRPr="004E51A0" w:rsidRDefault="00123CD2" w:rsidP="006D010E">
            <w:pPr>
              <w:rPr>
                <w:color w:val="FFFFFF" w:themeColor="background1"/>
                <w:sz w:val="18"/>
                <w:szCs w:val="18"/>
              </w:rPr>
            </w:pPr>
            <w:r w:rsidRPr="004E51A0">
              <w:rPr>
                <w:color w:val="FFFFFF" w:themeColor="background1"/>
                <w:sz w:val="18"/>
                <w:szCs w:val="18"/>
              </w:rPr>
              <w:t>8.77 hours</w:t>
            </w:r>
          </w:p>
        </w:tc>
      </w:tr>
      <w:tr w:rsidR="00123CD2" w:rsidRPr="002E309E" w14:paraId="18192D45" w14:textId="77777777" w:rsidTr="006D0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40" w:type="dxa"/>
          </w:tcPr>
          <w:p w14:paraId="6C48A683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99.99 (four nines)</w:t>
            </w:r>
          </w:p>
        </w:tc>
        <w:tc>
          <w:tcPr>
            <w:tcW w:w="2040" w:type="dxa"/>
          </w:tcPr>
          <w:p w14:paraId="3A28F018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8.64 seconds</w:t>
            </w:r>
          </w:p>
        </w:tc>
        <w:tc>
          <w:tcPr>
            <w:tcW w:w="2040" w:type="dxa"/>
          </w:tcPr>
          <w:p w14:paraId="4F8F8FFA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minutes</w:t>
            </w:r>
          </w:p>
        </w:tc>
        <w:tc>
          <w:tcPr>
            <w:tcW w:w="2040" w:type="dxa"/>
          </w:tcPr>
          <w:p w14:paraId="519339B1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52.60 minutes</w:t>
            </w:r>
          </w:p>
        </w:tc>
      </w:tr>
      <w:tr w:rsidR="00123CD2" w:rsidRPr="002E309E" w14:paraId="2B38DEF3" w14:textId="77777777" w:rsidTr="006D010E">
        <w:tc>
          <w:tcPr>
            <w:tcW w:w="3240" w:type="dxa"/>
          </w:tcPr>
          <w:p w14:paraId="18EA6E1C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99.999 (five nines)</w:t>
            </w:r>
          </w:p>
        </w:tc>
        <w:tc>
          <w:tcPr>
            <w:tcW w:w="2040" w:type="dxa"/>
          </w:tcPr>
          <w:p w14:paraId="748EEAEE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 seconds</w:t>
            </w:r>
          </w:p>
        </w:tc>
        <w:tc>
          <w:tcPr>
            <w:tcW w:w="2040" w:type="dxa"/>
          </w:tcPr>
          <w:p w14:paraId="29D7A699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seconds</w:t>
            </w:r>
          </w:p>
        </w:tc>
        <w:tc>
          <w:tcPr>
            <w:tcW w:w="2040" w:type="dxa"/>
          </w:tcPr>
          <w:p w14:paraId="511EF20E" w14:textId="77777777" w:rsidR="00123CD2" w:rsidRPr="002E309E" w:rsidRDefault="00123CD2" w:rsidP="006D0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5.26 minutes</w:t>
            </w:r>
          </w:p>
        </w:tc>
      </w:tr>
    </w:tbl>
    <w:p w14:paraId="6F562A57" w14:textId="3C6431EF" w:rsidR="00D24CD7" w:rsidRDefault="00016142" w:rsidP="002E309E">
      <w:pPr>
        <w:pStyle w:val="Heading1"/>
      </w:pPr>
      <w:r>
        <w:t>Security P</w:t>
      </w:r>
      <w:r w:rsidR="003F5569">
        <w:t>atches</w:t>
      </w:r>
    </w:p>
    <w:p w14:paraId="57A32C56" w14:textId="46E560CE" w:rsidR="00D24CD7" w:rsidRDefault="00016142">
      <w:r>
        <w:t>Operating System and Software Security patches need to be applied to comply with 3M Security Policies.  Patches and necessary system reboots will be performed without service interruption.</w:t>
      </w:r>
    </w:p>
    <w:p w14:paraId="1C4153C2" w14:textId="4BB6A34C" w:rsidR="00016142" w:rsidRDefault="00016142" w:rsidP="002E309E">
      <w:pPr>
        <w:pStyle w:val="Heading1"/>
      </w:pPr>
      <w:r>
        <w:lastRenderedPageBreak/>
        <w:t>Team Foundation Server Upgrades</w:t>
      </w:r>
    </w:p>
    <w:p w14:paraId="29C02776" w14:textId="7EA7E013" w:rsidR="00016142" w:rsidRDefault="002A2498">
      <w:r>
        <w:t xml:space="preserve">As new versions of Team Foundation Server are released, they will go through a trial period that will test for a successful upgrade of the service to a fully operational service.  Installation of new versions will be done within the </w:t>
      </w:r>
      <w:r w:rsidR="0085326C">
        <w:t>scheduled System Maintenance Service Windows</w:t>
      </w:r>
      <w:r>
        <w:t>.</w:t>
      </w:r>
    </w:p>
    <w:p w14:paraId="62F10B31" w14:textId="54645D66" w:rsidR="00D24CD7" w:rsidRDefault="002E309E" w:rsidP="002E309E">
      <w:pPr>
        <w:pStyle w:val="Heading1"/>
      </w:pPr>
      <w:r>
        <w:t>Database</w:t>
      </w:r>
    </w:p>
    <w:p w14:paraId="5447435F" w14:textId="4D6A4CDB" w:rsidR="00D24CD7" w:rsidRDefault="004E51A0">
      <w:r>
        <w:t>The database hardware, operating systems, database patches, and data backups are handled by the 3M Database Services team and</w:t>
      </w:r>
      <w:r w:rsidR="00254880">
        <w:t xml:space="preserve"> IT </w:t>
      </w:r>
      <w:r>
        <w:t>server admins.</w:t>
      </w:r>
    </w:p>
    <w:p w14:paraId="356C9BE3" w14:textId="3277E129" w:rsidR="00254880" w:rsidRDefault="00254880" w:rsidP="002E309E">
      <w:pPr>
        <w:pStyle w:val="Heading1"/>
      </w:pPr>
      <w:r>
        <w:t>Monitoring</w:t>
      </w:r>
    </w:p>
    <w:p w14:paraId="22A51734" w14:textId="3D0E8329" w:rsidR="00254880" w:rsidRDefault="00BE6A51" w:rsidP="00254880">
      <w:r>
        <w:t xml:space="preserve">ETFS is </w:t>
      </w:r>
      <w:r w:rsidR="00405216">
        <w:t>actively</w:t>
      </w:r>
      <w:r>
        <w:t xml:space="preserve"> monitored by the 3M IT SCOM team</w:t>
      </w:r>
      <w:r w:rsidR="00405216">
        <w:t xml:space="preserve"> using a SCOM Management Pack constructed by the Team Foundation Server development team</w:t>
      </w:r>
      <w:r>
        <w:t>.  System Center Operations Manager (SCOM) is a leading industry tool for monitoring of servers and systems, and is used throughout 3M</w:t>
      </w:r>
      <w:r w:rsidR="00405216">
        <w:t>.  All system components of the ETFS system are within scope, including the Application Tier (AT), Data Tier (DT), build machines, and proxy machines.</w:t>
      </w:r>
      <w:r w:rsidR="00DE65A0">
        <w:t xml:space="preserve">  </w:t>
      </w:r>
    </w:p>
    <w:p w14:paraId="79B20248" w14:textId="1CACFA69" w:rsidR="00DE65A0" w:rsidRPr="00254880" w:rsidRDefault="00EA5323" w:rsidP="00254880">
      <w:r>
        <w:t xml:space="preserve">For an identified issue, </w:t>
      </w:r>
      <w:r w:rsidR="00DE65A0">
        <w:t>3M SCOM creates an ITSM support ticket for resolution and tracking purposes.</w:t>
      </w:r>
    </w:p>
    <w:sectPr w:rsidR="00DE65A0" w:rsidRPr="00254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E48A5" w14:textId="77777777" w:rsidR="00CC5E59" w:rsidRDefault="00CC5E59" w:rsidP="00254880">
      <w:pPr>
        <w:spacing w:after="0" w:line="240" w:lineRule="auto"/>
      </w:pPr>
      <w:r>
        <w:separator/>
      </w:r>
    </w:p>
  </w:endnote>
  <w:endnote w:type="continuationSeparator" w:id="0">
    <w:p w14:paraId="3B93BB66" w14:textId="77777777" w:rsidR="00CC5E59" w:rsidRDefault="00CC5E59" w:rsidP="0025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3545A" w14:textId="1E908EBB" w:rsidR="00254880" w:rsidRDefault="00254880">
    <w:pPr>
      <w:pStyle w:val="Footer"/>
    </w:pPr>
    <w:r>
      <w:t>Enterprise Team Foundation Server</w:t>
    </w:r>
  </w:p>
  <w:p w14:paraId="1AC54FBC" w14:textId="6C175DE0" w:rsidR="00254880" w:rsidRDefault="00254880">
    <w:pPr>
      <w:pStyle w:val="Footer"/>
    </w:pPr>
    <w:r>
      <w:t>Service Level Agreement (SLA)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26C6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A019E" w14:textId="77777777" w:rsidR="00CC5E59" w:rsidRDefault="00CC5E59" w:rsidP="00254880">
      <w:pPr>
        <w:spacing w:after="0" w:line="240" w:lineRule="auto"/>
      </w:pPr>
      <w:r>
        <w:separator/>
      </w:r>
    </w:p>
  </w:footnote>
  <w:footnote w:type="continuationSeparator" w:id="0">
    <w:p w14:paraId="17332B50" w14:textId="77777777" w:rsidR="00CC5E59" w:rsidRDefault="00CC5E59" w:rsidP="00254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14"/>
    <w:rsid w:val="00016142"/>
    <w:rsid w:val="000F1D12"/>
    <w:rsid w:val="00123CD2"/>
    <w:rsid w:val="00254880"/>
    <w:rsid w:val="002A2498"/>
    <w:rsid w:val="002E309E"/>
    <w:rsid w:val="003F5569"/>
    <w:rsid w:val="00405216"/>
    <w:rsid w:val="00414355"/>
    <w:rsid w:val="00487F14"/>
    <w:rsid w:val="004E51A0"/>
    <w:rsid w:val="00513C63"/>
    <w:rsid w:val="007C3A53"/>
    <w:rsid w:val="0085326C"/>
    <w:rsid w:val="00893B80"/>
    <w:rsid w:val="008F1AD4"/>
    <w:rsid w:val="00A94C60"/>
    <w:rsid w:val="00B26C66"/>
    <w:rsid w:val="00BE6A51"/>
    <w:rsid w:val="00CC5E59"/>
    <w:rsid w:val="00D141F2"/>
    <w:rsid w:val="00D24CD7"/>
    <w:rsid w:val="00DE65A0"/>
    <w:rsid w:val="00E6543A"/>
    <w:rsid w:val="00EA5323"/>
    <w:rsid w:val="00F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C372"/>
  <w15:chartTrackingRefBased/>
  <w15:docId w15:val="{8F077996-CF23-407D-A0CB-F8AEEF9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09E"/>
  </w:style>
  <w:style w:type="paragraph" w:styleId="Heading1">
    <w:name w:val="heading 1"/>
    <w:basedOn w:val="Normal"/>
    <w:next w:val="Normal"/>
    <w:link w:val="Heading1Char"/>
    <w:uiPriority w:val="9"/>
    <w:qFormat/>
    <w:rsid w:val="002E30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0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55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E30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09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0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0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0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0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9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0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0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30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E309E"/>
    <w:rPr>
      <w:b/>
      <w:bCs/>
    </w:rPr>
  </w:style>
  <w:style w:type="character" w:styleId="Emphasis">
    <w:name w:val="Emphasis"/>
    <w:basedOn w:val="DefaultParagraphFont"/>
    <w:uiPriority w:val="20"/>
    <w:qFormat/>
    <w:rsid w:val="002E309E"/>
    <w:rPr>
      <w:i/>
      <w:iCs/>
    </w:rPr>
  </w:style>
  <w:style w:type="paragraph" w:styleId="NoSpacing">
    <w:name w:val="No Spacing"/>
    <w:uiPriority w:val="1"/>
    <w:qFormat/>
    <w:rsid w:val="002E3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30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0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9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30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E30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E30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30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E30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09E"/>
    <w:pPr>
      <w:outlineLvl w:val="9"/>
    </w:pPr>
  </w:style>
  <w:style w:type="table" w:customStyle="1" w:styleId="NormalRangerTable">
    <w:name w:val="Normal Ranger Table"/>
    <w:basedOn w:val="TableNormal"/>
    <w:uiPriority w:val="99"/>
    <w:rsid w:val="002E309E"/>
    <w:pPr>
      <w:spacing w:after="0" w:line="240" w:lineRule="auto"/>
    </w:pPr>
    <w:rPr>
      <w:rFonts w:ascii="Segoe UI" w:hAnsi="Segoe UI"/>
      <w:color w:val="404040" w:themeColor="text1" w:themeTint="BF"/>
      <w:szCs w:val="22"/>
    </w:rPr>
    <w:tblPr>
      <w:tblStyleRowBandSize w:val="1"/>
      <w:tblBorders>
        <w:top w:val="single" w:sz="2" w:space="0" w:color="BDD6EE" w:themeColor="accent1" w:themeTint="66"/>
        <w:left w:val="single" w:sz="2" w:space="0" w:color="BDD6EE" w:themeColor="accent1" w:themeTint="66"/>
        <w:bottom w:val="single" w:sz="2" w:space="0" w:color="BDD6EE" w:themeColor="accent1" w:themeTint="66"/>
        <w:right w:val="single" w:sz="2" w:space="0" w:color="BDD6EE" w:themeColor="accent1" w:themeTint="66"/>
        <w:insideH w:val="single" w:sz="2" w:space="0" w:color="BDD6EE" w:themeColor="accent1" w:themeTint="66"/>
        <w:insideV w:val="single" w:sz="2" w:space="0" w:color="BDD6EE" w:themeColor="accent1" w:themeTint="66"/>
      </w:tblBorders>
    </w:tblPr>
    <w:tblStylePr w:type="firstRow">
      <w:pPr>
        <w:jc w:val="left"/>
      </w:pPr>
      <w:rPr>
        <w:rFonts w:ascii="Segoe UI" w:hAnsi="Segoe UI"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2Horz">
      <w:rPr>
        <w:rFonts w:ascii="Segoe UI" w:hAnsi="Segoe UI"/>
        <w:color w:val="595959" w:themeColor="text1" w:themeTint="A6"/>
        <w:sz w:val="20"/>
      </w:rPr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5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80"/>
  </w:style>
  <w:style w:type="paragraph" w:styleId="Footer">
    <w:name w:val="footer"/>
    <w:basedOn w:val="Normal"/>
    <w:link w:val="FooterChar"/>
    <w:uiPriority w:val="99"/>
    <w:unhideWhenUsed/>
    <w:rsid w:val="0025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80"/>
  </w:style>
  <w:style w:type="table" w:styleId="TableGrid">
    <w:name w:val="Table Grid"/>
    <w:basedOn w:val="TableNormal"/>
    <w:uiPriority w:val="39"/>
    <w:rsid w:val="00BE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thelp.mmm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tfs.mmm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0C259A7161F438FA784257010334D" ma:contentTypeVersion="0" ma:contentTypeDescription="Create a new document." ma:contentTypeScope="" ma:versionID="90d59060913c81a60cf01388451b54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02e6e5de03935d15aaac393a97a8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6D403-E756-4594-AD4C-AEFD6C07B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102C2C-B40D-4CE6-B691-AF36739D2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B1EF1-7CDC-42AE-B84E-28E6A1AF7C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F332A4-D617-4CE3-A77F-26FF85CE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O'Brien</dc:creator>
  <cp:keywords/>
  <dc:description/>
  <cp:lastModifiedBy>Mike O'Brien</cp:lastModifiedBy>
  <cp:revision>10</cp:revision>
  <dcterms:created xsi:type="dcterms:W3CDTF">2014-03-20T16:09:00Z</dcterms:created>
  <dcterms:modified xsi:type="dcterms:W3CDTF">2014-09-24T15:26:00Z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0x010100B7D0C259A7161F438FA784257010334D</vt:lpwstr>
  </property>
</Properties>
</file>