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AA" w:rsidRDefault="00F0265E" w:rsidP="00F0265E">
      <w:pPr>
        <w:pStyle w:val="Title"/>
      </w:pPr>
      <w:r>
        <w:t>Environment Setup and Installation</w:t>
      </w:r>
    </w:p>
    <w:p w:rsidR="00F0265E" w:rsidRDefault="00F0265E">
      <w:r>
        <w:t>Stand</w:t>
      </w:r>
      <w:r w:rsidRPr="00F0265E">
        <w:rPr>
          <w:rStyle w:val="SubtitleChar"/>
        </w:rPr>
        <w:t>a</w:t>
      </w:r>
      <w:r>
        <w:t>rd Operating Procedure - Enterprise Team Foundation Server</w:t>
      </w:r>
    </w:p>
    <w:p w:rsidR="00F0265E" w:rsidRDefault="00F0265E"/>
    <w:p w:rsidR="00F0265E" w:rsidRDefault="00F0265E"/>
    <w:p w:rsidR="00BA4471" w:rsidRDefault="00BA4471" w:rsidP="00BA4471">
      <w:pPr>
        <w:pStyle w:val="Heading1"/>
      </w:pPr>
      <w:r>
        <w:t>Service Contacts</w:t>
      </w:r>
    </w:p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BA4471" w:rsidRPr="009910DD" w:rsidTr="0034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BA4471" w:rsidRPr="009910DD" w:rsidRDefault="00BA4471" w:rsidP="003422CE">
            <w:pPr>
              <w:tabs>
                <w:tab w:val="center" w:pos="155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6020" w:type="dxa"/>
          </w:tcPr>
          <w:p w:rsidR="00BA4471" w:rsidRPr="009910DD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</w:tr>
      <w:tr w:rsidR="00BA4471" w:rsidRPr="009910DD" w:rsidTr="003422CE">
        <w:tc>
          <w:tcPr>
            <w:tcW w:w="3330" w:type="dxa"/>
          </w:tcPr>
          <w:p w:rsidR="00BA4471" w:rsidRPr="009910DD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Moser</w:t>
            </w:r>
          </w:p>
        </w:tc>
        <w:tc>
          <w:tcPr>
            <w:tcW w:w="6020" w:type="dxa"/>
          </w:tcPr>
          <w:p w:rsidR="00BA4471" w:rsidRPr="009910DD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Service Manager</w:t>
            </w:r>
          </w:p>
        </w:tc>
      </w:tr>
      <w:tr w:rsidR="00BA4471" w:rsidRPr="009910DD" w:rsidTr="00342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BA4471" w:rsidRPr="009910DD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Heather Bufkins</w:t>
            </w:r>
          </w:p>
        </w:tc>
        <w:tc>
          <w:tcPr>
            <w:tcW w:w="6020" w:type="dxa"/>
          </w:tcPr>
          <w:p w:rsidR="00BA4471" w:rsidRPr="009910DD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3M Database DBA</w:t>
            </w:r>
          </w:p>
        </w:tc>
      </w:tr>
      <w:tr w:rsidR="00BA4471" w:rsidRPr="009910DD" w:rsidTr="003422CE">
        <w:tc>
          <w:tcPr>
            <w:tcW w:w="3330" w:type="dxa"/>
          </w:tcPr>
          <w:p w:rsidR="00BA4471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Emily Gregerson</w:t>
            </w:r>
          </w:p>
        </w:tc>
        <w:tc>
          <w:tcPr>
            <w:tcW w:w="6020" w:type="dxa"/>
          </w:tcPr>
          <w:p w:rsidR="00BA4471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Operations Manager</w:t>
            </w:r>
          </w:p>
        </w:tc>
      </w:tr>
      <w:tr w:rsidR="00BA4471" w:rsidRPr="009910DD" w:rsidTr="00342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BA4471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 O’Brien</w:t>
            </w:r>
          </w:p>
        </w:tc>
        <w:tc>
          <w:tcPr>
            <w:tcW w:w="6020" w:type="dxa"/>
          </w:tcPr>
          <w:p w:rsidR="00BA4471" w:rsidRDefault="00BA4471" w:rsidP="003422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ETFS Service Manager</w:t>
            </w:r>
          </w:p>
        </w:tc>
      </w:tr>
    </w:tbl>
    <w:p w:rsidR="00106EA7" w:rsidRDefault="00106EA7" w:rsidP="00106EA7">
      <w:pPr>
        <w:pStyle w:val="Heading1"/>
      </w:pPr>
      <w:r>
        <w:t>Procure Machines</w:t>
      </w:r>
    </w:p>
    <w:p w:rsidR="003570B0" w:rsidRDefault="003570B0">
      <w:r>
        <w:t xml:space="preserve">Enterprise TFS is run on virtual front end Application tier machines.  New virtual machines can be requested via the 3M Server Express website at </w:t>
      </w:r>
      <w:hyperlink r:id="rId7" w:history="1">
        <w:r w:rsidRPr="00A8195F">
          <w:rPr>
            <w:rStyle w:val="Hyperlink"/>
          </w:rPr>
          <w:t>http://serverexpress/default.aspx</w:t>
        </w:r>
      </w:hyperlink>
      <w:r>
        <w:t xml:space="preserve">.  Data tier machines are a mix of physical and virtual, and are managed by the 3M Database team.  </w:t>
      </w:r>
      <w:r w:rsidR="00BA4471">
        <w:t>Requests to add, modify, or remove should be requested through the Database team.</w:t>
      </w:r>
    </w:p>
    <w:p w:rsidR="00106EA7" w:rsidRDefault="00106EA7"/>
    <w:p w:rsidR="00CA3DF1" w:rsidRDefault="00CA3DF1">
      <w:bookmarkStart w:id="0" w:name="_GoBack"/>
      <w:bookmarkEnd w:id="0"/>
    </w:p>
    <w:p w:rsidR="00F0265E" w:rsidRDefault="00F0265E"/>
    <w:p w:rsidR="00F0265E" w:rsidRDefault="00F0265E" w:rsidP="00F0265E">
      <w:pPr>
        <w:pStyle w:val="Heading1"/>
        <w:rPr>
          <w:sz w:val="36"/>
          <w:szCs w:val="36"/>
          <w:lang w:val="en"/>
        </w:rPr>
      </w:pPr>
      <w:r>
        <w:rPr>
          <w:lang w:val="en"/>
        </w:rPr>
        <w:t>Initial OS Configuration and Regular Management Tasks</w:t>
      </w:r>
    </w:p>
    <w:p w:rsidR="00F0265E" w:rsidRDefault="00F0265E" w:rsidP="00F02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Collect a performance counter baseline for a representative period of time to identify any bottlenecks and serve as a useful diagnostics tool in the future.  A collection over a 24 hour period on a weekday @ 1-5min intervals to a local file should be sufficient. Don’t know which counters to collect? Download the </w:t>
      </w:r>
      <w:hyperlink r:id="rId8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PAL tool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and look at the “threshold files” for “System Overview” on all your servers, “SQL Server” on your data tier servers, and "IIS" and ".NET (ASP.NET)" for your application tier servers.</w:t>
      </w:r>
    </w:p>
    <w:p w:rsidR="00F0265E" w:rsidRDefault="00F0265E" w:rsidP="00F02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Ensure antivirus exclusions are correct for TFS, SQL and SharePoint. (</w:t>
      </w:r>
      <w:hyperlink r:id="rId9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KB2636507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>)</w:t>
      </w:r>
    </w:p>
    <w:p w:rsidR="00F0265E" w:rsidRDefault="00F0265E" w:rsidP="00F02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Ensure firewall rules are correct. I had an outage once where the network profile changed from ‘domain’ to ‘public’ due to a switch gateway change, and our firewall policy blocked SQL access for the ‘public’ profile which effectively took SQL offline for TFS.</w:t>
      </w:r>
    </w:p>
    <w:p w:rsidR="00F0265E" w:rsidRDefault="00F0265E" w:rsidP="00F02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Ensure page file settings are configured for an appropriately sized disk &amp; memory dump settings are configured for Complete memory dump. If you get a bluescreen, having a dump greatly increases your chances of getting a root cause + fix. (</w:t>
      </w:r>
      <w:hyperlink r:id="rId10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KB254649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), test the settings using </w:t>
      </w:r>
      <w:hyperlink r:id="rId11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NotMyFault.exe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(during a maintenance window, of course)</w:t>
      </w:r>
    </w:p>
    <w:p w:rsidR="00F0265E" w:rsidRDefault="00F0265E" w:rsidP="00F02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Don’t run SQL or TFS as a local administrator.</w:t>
      </w:r>
    </w:p>
    <w:p w:rsidR="00F0265E" w:rsidRDefault="00F0265E" w:rsidP="00F0265E">
      <w:pPr>
        <w:pStyle w:val="Heading1"/>
        <w:rPr>
          <w:sz w:val="36"/>
          <w:szCs w:val="36"/>
          <w:lang w:val="en"/>
        </w:rPr>
      </w:pPr>
      <w:r>
        <w:rPr>
          <w:lang w:val="en"/>
        </w:rPr>
        <w:t>Initial SQL Configuration</w:t>
      </w:r>
    </w:p>
    <w:p w:rsidR="00F0265E" w:rsidRDefault="00ED5203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hyperlink r:id="rId12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SQL Pre-Deployment Best Practices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 xml:space="preserve"> (SQLIO/IOmeter to benchmark storage performance)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SQL recommended IO configuration. SQLCAT </w:t>
      </w:r>
      <w:hyperlink r:id="rId13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Storage Top 10 best practices</w:t>
        </w:r>
      </w:hyperlink>
    </w:p>
    <w:p w:rsidR="00F0265E" w:rsidRDefault="00ED5203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hyperlink r:id="rId14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Check disk partition alignments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 xml:space="preserve"> for a potential 30% IO performance improvement (especially if your disks were ever attached to a server running Windows Server 2003, but sometimes if you used pre-partitioned disks from OEM)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Ensure that </w:t>
      </w:r>
      <w:hyperlink r:id="rId15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Instant File Initialization is enabled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(if the performance vs. security trade-off is appropriate in your environment. The article has more details). This enables SQL to create data files without having to zero-out the contents, which makes it “instant”. This requires the service account that SQL runs as to have the ‘Perform Volume Maintenance Tasks’ (SE_MANAGE_VOLUME) permission.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Separate LUNs for data/log/tempdb/system.</w:t>
      </w:r>
    </w:p>
    <w:p w:rsidR="00F0265E" w:rsidRDefault="00ED5203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hyperlink r:id="rId16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Multiple data files for TempDB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 xml:space="preserve"> and TPC databases. (</w:t>
      </w:r>
      <w:hyperlink r:id="rId17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See here for guidance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 xml:space="preserve"> on the “right” number of files. If you have less than 8 cores, use #files = #cores. If you have more than 8 cores, use 8 files and if you’re seeing in-memory contention, add 4 more files at a time.)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Consider splitting tbl_Content out to a separate filegroup so that it can be managed differently</w:t>
      </w:r>
    </w:p>
    <w:p w:rsidR="00F0265E" w:rsidRDefault="00ED5203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hyperlink r:id="rId18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Consider changing ‘max degree of parallelism’ (MAXDOP)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 xml:space="preserve"> to a value other than ‘0’ (a single command can peg all CPUs and starve other commands). The trade-off here is slower execution time vs. higher concurrency of multiple commands from multiple users.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Consider these SQL startup traceflags. Remember, the answer to “should I do this on all my servers?” is not “yes”, the answer is “it depends on the situation”. </w:t>
      </w:r>
    </w:p>
    <w:p w:rsidR="00F0265E" w:rsidRDefault="00F0265E" w:rsidP="00F026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T1211 (prevent table lock escalation) (</w:t>
      </w:r>
      <w:hyperlink r:id="rId19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KB934005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and </w:t>
      </w:r>
      <w:hyperlink r:id="rId20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here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>)</w:t>
      </w:r>
    </w:p>
    <w:p w:rsidR="00F0265E" w:rsidRDefault="00F0265E" w:rsidP="00F026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T1118 (reduce tempdb contention, </w:t>
      </w:r>
      <w:hyperlink r:id="rId21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Paul says everyone should turn it on, there’s no downside.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>)</w:t>
      </w:r>
    </w:p>
    <w:p w:rsidR="00F0265E" w:rsidRDefault="00F0265E" w:rsidP="00F026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T1222 (</w:t>
      </w:r>
      <w:hyperlink r:id="rId22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XML deadlock graph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>, you’re unlikely to get deadlocks because we find most of them while dogfooding, but this information is useful if you do hit them.)</w:t>
      </w:r>
    </w:p>
    <w:p w:rsidR="00F0265E" w:rsidRDefault="00F0265E" w:rsidP="00F026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>T1117 (equal file autogrowth for tempdb files).</w:t>
      </w:r>
    </w:p>
    <w:p w:rsidR="00F0265E" w:rsidRDefault="00ED5203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hyperlink r:id="rId23" w:history="1">
        <w:r w:rsidR="00F0265E">
          <w:rPr>
            <w:rStyle w:val="Hyperlink"/>
            <w:rFonts w:ascii="Segoe UI" w:hAnsi="Segoe UI" w:cs="Segoe UI"/>
            <w:sz w:val="19"/>
            <w:szCs w:val="19"/>
            <w:lang w:val="en"/>
          </w:rPr>
          <w:t>Configure daily SQL ErrorLog rollover and 30 day retention</w:t>
        </w:r>
      </w:hyperlink>
      <w:r w:rsidR="00F0265E">
        <w:rPr>
          <w:rFonts w:ascii="Segoe UI" w:hAnsi="Segoe UI" w:cs="Segoe UI"/>
          <w:color w:val="424242"/>
          <w:sz w:val="19"/>
          <w:szCs w:val="19"/>
          <w:lang w:val="en"/>
        </w:rPr>
        <w:t>.</w:t>
      </w:r>
    </w:p>
    <w:p w:rsidR="00F0265E" w:rsidRDefault="00F0265E" w:rsidP="00F02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19"/>
          <w:szCs w:val="19"/>
          <w:lang w:val="en"/>
        </w:rPr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Set an appropriate ‘max server memory’ value for SQL server. If it’s a server dedicated to SQL (assuming TFS, SSRS and SSAS are on different machines), then </w:t>
      </w:r>
      <w:hyperlink r:id="rId24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a loose formula you can use</w:t>
        </w:r>
      </w:hyperlink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is to reserve: 1 GB of RAM for the OS, 1 GB for each 4 GB of RAM installed from 4–16 GB, and then 1 GB for every 8 GB RAM installed above 16 GB RAM. So, for a 32GB dedicated server, that’s 32-1-4-2=25GB. If you are running SSRS/SSAS/TFS on the same hardware, then you will need to reduce the amount further.</w:t>
      </w:r>
    </w:p>
    <w:p w:rsidR="00F0265E" w:rsidRDefault="00F0265E"/>
    <w:sectPr w:rsidR="00F0265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203" w:rsidRDefault="00ED5203" w:rsidP="00106EA7">
      <w:pPr>
        <w:spacing w:after="0" w:line="240" w:lineRule="auto"/>
      </w:pPr>
      <w:r>
        <w:separator/>
      </w:r>
    </w:p>
  </w:endnote>
  <w:endnote w:type="continuationSeparator" w:id="0">
    <w:p w:rsidR="00ED5203" w:rsidRDefault="00ED5203" w:rsidP="001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A7" w:rsidRDefault="00106EA7" w:rsidP="00106EA7">
    <w:pPr>
      <w:pStyle w:val="Footer"/>
      <w:rPr>
        <w:sz w:val="16"/>
        <w:szCs w:val="16"/>
      </w:rPr>
    </w:pPr>
    <w:r w:rsidRPr="00555E33">
      <w:rPr>
        <w:sz w:val="16"/>
        <w:szCs w:val="16"/>
      </w:rPr>
      <w:t>Ongoing Maintenance – SOP – ETFS</w:t>
    </w:r>
  </w:p>
  <w:p w:rsidR="00106EA7" w:rsidRPr="00555E33" w:rsidRDefault="00106EA7" w:rsidP="00106EA7">
    <w:pPr>
      <w:pStyle w:val="Footer"/>
      <w:rPr>
        <w:sz w:val="16"/>
        <w:szCs w:val="16"/>
      </w:rPr>
    </w:pPr>
    <w:r>
      <w:rPr>
        <w:sz w:val="16"/>
        <w:szCs w:val="16"/>
      </w:rPr>
      <w:t xml:space="preserve">Last Updated: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3570B0">
      <w:rPr>
        <w:noProof/>
        <w:sz w:val="16"/>
        <w:szCs w:val="16"/>
      </w:rPr>
      <w:t>10/1/2014</w:t>
    </w:r>
    <w:r>
      <w:rPr>
        <w:sz w:val="16"/>
        <w:szCs w:val="16"/>
      </w:rPr>
      <w:fldChar w:fldCharType="end"/>
    </w:r>
    <w:r w:rsidRPr="00555E33">
      <w:rPr>
        <w:sz w:val="16"/>
        <w:szCs w:val="16"/>
      </w:rPr>
      <w:tab/>
    </w:r>
    <w:r w:rsidRPr="00555E33">
      <w:rPr>
        <w:sz w:val="16"/>
        <w:szCs w:val="16"/>
      </w:rPr>
      <w:tab/>
    </w:r>
    <w:r w:rsidRPr="00555E33">
      <w:rPr>
        <w:sz w:val="16"/>
        <w:szCs w:val="16"/>
      </w:rPr>
      <w:fldChar w:fldCharType="begin"/>
    </w:r>
    <w:r w:rsidRPr="00555E33">
      <w:rPr>
        <w:sz w:val="16"/>
        <w:szCs w:val="16"/>
      </w:rPr>
      <w:instrText xml:space="preserve"> PAGE   \* MERGEFORMAT </w:instrText>
    </w:r>
    <w:r w:rsidRPr="00555E33">
      <w:rPr>
        <w:sz w:val="16"/>
        <w:szCs w:val="16"/>
      </w:rPr>
      <w:fldChar w:fldCharType="separate"/>
    </w:r>
    <w:r w:rsidR="00CA3DF1">
      <w:rPr>
        <w:noProof/>
        <w:sz w:val="16"/>
        <w:szCs w:val="16"/>
      </w:rPr>
      <w:t>1</w:t>
    </w:r>
    <w:r w:rsidRPr="00555E33">
      <w:rPr>
        <w:noProof/>
        <w:sz w:val="16"/>
        <w:szCs w:val="16"/>
      </w:rPr>
      <w:fldChar w:fldCharType="end"/>
    </w:r>
  </w:p>
  <w:p w:rsidR="00106EA7" w:rsidRDefault="00106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203" w:rsidRDefault="00ED5203" w:rsidP="00106EA7">
      <w:pPr>
        <w:spacing w:after="0" w:line="240" w:lineRule="auto"/>
      </w:pPr>
      <w:r>
        <w:separator/>
      </w:r>
    </w:p>
  </w:footnote>
  <w:footnote w:type="continuationSeparator" w:id="0">
    <w:p w:rsidR="00ED5203" w:rsidRDefault="00ED5203" w:rsidP="00106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0F87"/>
    <w:multiLevelType w:val="multilevel"/>
    <w:tmpl w:val="BCA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E6B55"/>
    <w:multiLevelType w:val="multilevel"/>
    <w:tmpl w:val="B4C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E"/>
    <w:rsid w:val="00106EA7"/>
    <w:rsid w:val="001144AA"/>
    <w:rsid w:val="003570B0"/>
    <w:rsid w:val="00606B07"/>
    <w:rsid w:val="007B47B5"/>
    <w:rsid w:val="00BA4471"/>
    <w:rsid w:val="00CA3DF1"/>
    <w:rsid w:val="00ED5203"/>
    <w:rsid w:val="00F0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FDBB-438E-421F-A84C-F460AA43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5E"/>
  </w:style>
  <w:style w:type="paragraph" w:styleId="Heading1">
    <w:name w:val="heading 1"/>
    <w:basedOn w:val="Normal"/>
    <w:next w:val="Normal"/>
    <w:link w:val="Heading1Char"/>
    <w:uiPriority w:val="9"/>
    <w:qFormat/>
    <w:rsid w:val="00F026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6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6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6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6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6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6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6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6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6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65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6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6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65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6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6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6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026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65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6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265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265E"/>
    <w:rPr>
      <w:b/>
      <w:bCs/>
    </w:rPr>
  </w:style>
  <w:style w:type="character" w:styleId="Emphasis">
    <w:name w:val="Emphasis"/>
    <w:basedOn w:val="DefaultParagraphFont"/>
    <w:uiPriority w:val="20"/>
    <w:qFormat/>
    <w:rsid w:val="00F0265E"/>
    <w:rPr>
      <w:i/>
      <w:iCs/>
    </w:rPr>
  </w:style>
  <w:style w:type="paragraph" w:styleId="NoSpacing">
    <w:name w:val="No Spacing"/>
    <w:uiPriority w:val="1"/>
    <w:qFormat/>
    <w:rsid w:val="00F026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26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6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65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65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26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26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26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265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26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6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65E"/>
    <w:rPr>
      <w:b w:val="0"/>
      <w:bCs w:val="0"/>
      <w:strike w:val="0"/>
      <w:dstrike w:val="0"/>
      <w:color w:val="00749E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10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A7"/>
  </w:style>
  <w:style w:type="paragraph" w:styleId="Footer">
    <w:name w:val="footer"/>
    <w:basedOn w:val="Normal"/>
    <w:link w:val="FooterChar"/>
    <w:uiPriority w:val="99"/>
    <w:unhideWhenUsed/>
    <w:rsid w:val="0010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A7"/>
  </w:style>
  <w:style w:type="table" w:styleId="TableGrid">
    <w:name w:val="Table Grid"/>
    <w:basedOn w:val="TableNormal"/>
    <w:uiPriority w:val="39"/>
    <w:rsid w:val="0035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RangerTable">
    <w:name w:val="Normal Ranger Table"/>
    <w:basedOn w:val="TableNormal"/>
    <w:uiPriority w:val="99"/>
    <w:rsid w:val="003570B0"/>
    <w:pPr>
      <w:spacing w:after="0" w:line="240" w:lineRule="auto"/>
    </w:pPr>
    <w:rPr>
      <w:rFonts w:ascii="Segoe UI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.codeplex.com/" TargetMode="External"/><Relationship Id="rId13" Type="http://schemas.openxmlformats.org/officeDocument/2006/relationships/hyperlink" Target="http://technet.microsoft.com/en-US/library/cc966534" TargetMode="External"/><Relationship Id="rId18" Type="http://schemas.openxmlformats.org/officeDocument/2006/relationships/hyperlink" Target="http://blogs.msdn.com/b/chandrur/archive/2009/06/23/team-foundation-server-performance-sql-server-configuration-settings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qlskills.com/blogs/paul/misconceptions-around-tf-1118/" TargetMode="External"/><Relationship Id="rId7" Type="http://schemas.openxmlformats.org/officeDocument/2006/relationships/hyperlink" Target="http://serverexpress/default.aspx" TargetMode="External"/><Relationship Id="rId12" Type="http://schemas.openxmlformats.org/officeDocument/2006/relationships/hyperlink" Target="http://technet.microsoft.com/library/Cc966412" TargetMode="External"/><Relationship Id="rId17" Type="http://schemas.openxmlformats.org/officeDocument/2006/relationships/hyperlink" Target="http://www.sqlskills.com/blogs/paul/a-sql-server-dba-myth-a-day-1230-tempdb-should-always-have-one-data-file-per-processor-core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blogs.msdn.com/b/chandrur/archive/2006/01/10/configuring-tempdb-for-optimal-tfs-performance.aspx" TargetMode="External"/><Relationship Id="rId20" Type="http://schemas.openxmlformats.org/officeDocument/2006/relationships/hyperlink" Target="http://blogs.msdn.com/b/sqlserverstorageengine/archive/2006/05/17/lock-escalation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microsoft.com/kb/969028" TargetMode="External"/><Relationship Id="rId24" Type="http://schemas.openxmlformats.org/officeDocument/2006/relationships/hyperlink" Target="http://www.sqlskills.com/blogs/jonathan/how-much-memory-does-my-sql-server-actually-ne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skills.com/blogs/kimberly/instant-initialization-what-why-and-how/" TargetMode="External"/><Relationship Id="rId23" Type="http://schemas.openxmlformats.org/officeDocument/2006/relationships/hyperlink" Target="http://sqlblog.com/blogs/jonathan_kehayias/archive/2010/03/03/setting-sql-server-errorlog-retention-and-rollover-with-powershell.aspx" TargetMode="External"/><Relationship Id="rId10" Type="http://schemas.openxmlformats.org/officeDocument/2006/relationships/hyperlink" Target="http://support.microsoft.com/kb/254649" TargetMode="External"/><Relationship Id="rId19" Type="http://schemas.openxmlformats.org/officeDocument/2006/relationships/hyperlink" Target="http://support.microsoft.com/kb/934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2636507" TargetMode="External"/><Relationship Id="rId14" Type="http://schemas.openxmlformats.org/officeDocument/2006/relationships/hyperlink" Target="http://technet.microsoft.com/en-us/library/dd758814(v=SQL.100).aspx" TargetMode="External"/><Relationship Id="rId22" Type="http://schemas.openxmlformats.org/officeDocument/2006/relationships/hyperlink" Target="https://www.simple-talk.com/sql/database-administration/handling-deadlocks-in-sql-serv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3</cp:revision>
  <dcterms:created xsi:type="dcterms:W3CDTF">2014-06-04T20:50:00Z</dcterms:created>
  <dcterms:modified xsi:type="dcterms:W3CDTF">2014-10-01T18:39:00Z</dcterms:modified>
</cp:coreProperties>
</file>