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D6A3B" w14:textId="77777777" w:rsidR="009532E0" w:rsidRPr="007963D4" w:rsidRDefault="009532E0" w:rsidP="00734B32">
      <w:pPr>
        <w:spacing w:after="0" w:line="240" w:lineRule="auto"/>
        <w:jc w:val="right"/>
        <w:rPr>
          <w:rFonts w:asciiTheme="minorHAnsi" w:hAnsiTheme="minorHAnsi" w:cstheme="minorHAnsi"/>
          <w:b/>
          <w:sz w:val="36"/>
        </w:rPr>
      </w:pPr>
    </w:p>
    <w:p w14:paraId="0E3D6A3C" w14:textId="77777777" w:rsidR="00876D82" w:rsidRPr="007963D4" w:rsidRDefault="002B1032" w:rsidP="00734B32">
      <w:pPr>
        <w:spacing w:after="0" w:line="240" w:lineRule="auto"/>
        <w:jc w:val="right"/>
        <w:rPr>
          <w:rFonts w:asciiTheme="minorHAnsi" w:hAnsiTheme="minorHAnsi" w:cstheme="minorHAnsi"/>
          <w:b/>
          <w:sz w:val="32"/>
          <w:szCs w:val="32"/>
        </w:rPr>
      </w:pPr>
      <w:r w:rsidRPr="007963D4">
        <w:rPr>
          <w:rFonts w:asciiTheme="minorHAnsi" w:hAnsiTheme="minorHAnsi" w:cstheme="minorHAnsi"/>
          <w:b/>
          <w:sz w:val="32"/>
          <w:szCs w:val="32"/>
        </w:rPr>
        <w:t>BT &amp; IT</w:t>
      </w:r>
    </w:p>
    <w:p w14:paraId="0E3D6A3D" w14:textId="30DAF837" w:rsidR="00B95C7B" w:rsidRPr="007963D4" w:rsidRDefault="005279FF" w:rsidP="009532E0">
      <w:pPr>
        <w:spacing w:after="0" w:line="240" w:lineRule="auto"/>
        <w:jc w:val="righ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ETFS:  NPSA Password Reset Procedure</w:t>
      </w:r>
    </w:p>
    <w:p w14:paraId="0E3D6A3E" w14:textId="77777777" w:rsidR="00B95C7B" w:rsidRPr="007963D4" w:rsidRDefault="00B95C7B" w:rsidP="009532E0">
      <w:pPr>
        <w:spacing w:after="0" w:line="240" w:lineRule="auto"/>
        <w:jc w:val="right"/>
        <w:rPr>
          <w:rFonts w:asciiTheme="minorHAnsi" w:hAnsiTheme="minorHAnsi" w:cstheme="minorHAnsi"/>
          <w:b/>
          <w:sz w:val="28"/>
        </w:rPr>
      </w:pPr>
    </w:p>
    <w:p w14:paraId="0E3D6A3F" w14:textId="77777777" w:rsidR="00B95C7B" w:rsidRPr="007963D4" w:rsidRDefault="00B95C7B" w:rsidP="009532E0">
      <w:pPr>
        <w:spacing w:after="0" w:line="240" w:lineRule="auto"/>
        <w:jc w:val="right"/>
        <w:rPr>
          <w:rFonts w:asciiTheme="minorHAnsi" w:hAnsiTheme="minorHAnsi" w:cstheme="minorHAnsi"/>
          <w:b/>
          <w:sz w:val="28"/>
        </w:rPr>
      </w:pPr>
    </w:p>
    <w:p w14:paraId="7CE1A3AA" w14:textId="525B1CF0" w:rsidR="00134F61" w:rsidRPr="007963D4" w:rsidRDefault="00134F61" w:rsidP="00134F61">
      <w:pPr>
        <w:spacing w:after="0" w:line="240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Summary</w:t>
      </w:r>
    </w:p>
    <w:p w14:paraId="7750AD49" w14:textId="77777777" w:rsidR="00134F61" w:rsidRPr="007963D4" w:rsidRDefault="00134F61" w:rsidP="00134F61">
      <w:pPr>
        <w:spacing w:after="0" w:line="240" w:lineRule="auto"/>
        <w:rPr>
          <w:rFonts w:asciiTheme="minorHAnsi" w:hAnsiTheme="minorHAnsi" w:cstheme="minorHAnsi"/>
          <w:b/>
          <w:sz w:val="28"/>
        </w:rPr>
      </w:pPr>
    </w:p>
    <w:p w14:paraId="6D14C586" w14:textId="7B15841A" w:rsidR="00134F61" w:rsidRDefault="00134F61" w:rsidP="00134F6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This document is intended to provide detailed instructions on how to reset the NPSA accounts used by ETFS.</w:t>
      </w:r>
    </w:p>
    <w:p w14:paraId="3009A3E7" w14:textId="77777777" w:rsidR="00134F61" w:rsidRDefault="00134F61" w:rsidP="00C34370">
      <w:pPr>
        <w:spacing w:after="0" w:line="240" w:lineRule="auto"/>
        <w:rPr>
          <w:rFonts w:asciiTheme="minorHAnsi" w:hAnsiTheme="minorHAnsi" w:cstheme="minorHAnsi"/>
          <w:b/>
          <w:sz w:val="28"/>
        </w:rPr>
      </w:pPr>
    </w:p>
    <w:p w14:paraId="0E3D6A40" w14:textId="51FA932A" w:rsidR="00C34370" w:rsidRPr="007963D4" w:rsidRDefault="00134F61" w:rsidP="00C34370">
      <w:pPr>
        <w:spacing w:after="0" w:line="240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Prepare</w:t>
      </w:r>
    </w:p>
    <w:p w14:paraId="0E3D6A41" w14:textId="77777777" w:rsidR="00C34370" w:rsidRPr="007963D4" w:rsidRDefault="00C34370" w:rsidP="00C34370">
      <w:pPr>
        <w:spacing w:after="0" w:line="240" w:lineRule="auto"/>
        <w:rPr>
          <w:rFonts w:asciiTheme="minorHAnsi" w:hAnsiTheme="minorHAnsi" w:cstheme="minorHAnsi"/>
          <w:b/>
          <w:sz w:val="28"/>
        </w:rPr>
      </w:pPr>
    </w:p>
    <w:p w14:paraId="4C1C621E" w14:textId="0573E3C4" w:rsidR="00134F61" w:rsidRDefault="00842903" w:rsidP="00842903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t>Broadcast outage</w:t>
      </w:r>
      <w:r w:rsidR="00134F61" w:rsidRPr="00842903">
        <w:rPr>
          <w:rFonts w:asciiTheme="minorHAnsi" w:hAnsiTheme="minorHAnsi" w:cstheme="minorHAnsi"/>
          <w:sz w:val="24"/>
          <w:szCs w:val="24"/>
        </w:rPr>
        <w:t xml:space="preserve"> email to WW-ETFS-Everyone for scheduled outage.  This will </w:t>
      </w:r>
      <w:r w:rsidR="00C94E5D">
        <w:rPr>
          <w:rFonts w:asciiTheme="minorHAnsi" w:hAnsiTheme="minorHAnsi" w:cstheme="minorHAnsi"/>
          <w:sz w:val="24"/>
          <w:szCs w:val="24"/>
        </w:rPr>
        <w:t>affect</w:t>
      </w:r>
      <w:r w:rsidR="00A73A74">
        <w:rPr>
          <w:rFonts w:asciiTheme="minorHAnsi" w:hAnsiTheme="minorHAnsi" w:cstheme="minorHAnsi"/>
          <w:sz w:val="24"/>
          <w:szCs w:val="24"/>
        </w:rPr>
        <w:t xml:space="preserve"> </w:t>
      </w:r>
      <w:r w:rsidR="00134F61" w:rsidRPr="00842903">
        <w:rPr>
          <w:rFonts w:asciiTheme="minorHAnsi" w:hAnsiTheme="minorHAnsi" w:cstheme="minorHAnsi"/>
          <w:sz w:val="24"/>
          <w:szCs w:val="24"/>
        </w:rPr>
        <w:t>all</w:t>
      </w:r>
      <w:r w:rsidR="00A73A74">
        <w:rPr>
          <w:rFonts w:asciiTheme="minorHAnsi" w:hAnsiTheme="minorHAnsi" w:cstheme="minorHAnsi"/>
          <w:sz w:val="24"/>
          <w:szCs w:val="24"/>
        </w:rPr>
        <w:t xml:space="preserve"> three</w:t>
      </w:r>
      <w:r w:rsidR="00134F61" w:rsidRPr="00842903">
        <w:rPr>
          <w:rFonts w:asciiTheme="minorHAnsi" w:hAnsiTheme="minorHAnsi" w:cstheme="minorHAnsi"/>
          <w:sz w:val="24"/>
          <w:szCs w:val="24"/>
        </w:rPr>
        <w:t xml:space="preserve"> instances.</w:t>
      </w:r>
    </w:p>
    <w:p w14:paraId="1D6DDE59" w14:textId="4F2C5E6F" w:rsidR="00A73A74" w:rsidRDefault="00A73A74" w:rsidP="00222FD2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Locate and o</w:t>
      </w:r>
      <w:r w:rsidR="00222FD2">
        <w:rPr>
          <w:rFonts w:asciiTheme="minorHAnsi" w:hAnsiTheme="minorHAnsi" w:cstheme="minorHAnsi"/>
          <w:sz w:val="24"/>
          <w:szCs w:val="24"/>
        </w:rPr>
        <w:t xml:space="preserve">pen the ETFS KeePass vault: </w:t>
      </w:r>
      <w:hyperlink r:id="rId8" w:history="1">
        <w:r w:rsidR="00222FD2" w:rsidRPr="001014F5">
          <w:rPr>
            <w:rStyle w:val="Hyperlink"/>
            <w:rFonts w:asciiTheme="minorHAnsi" w:hAnsiTheme="minorHAnsi" w:cstheme="minorHAnsi"/>
            <w:sz w:val="24"/>
            <w:szCs w:val="24"/>
          </w:rPr>
          <w:t>\\usfile01\Service_Business\Projects\Misc</w:t>
        </w:r>
      </w:hyperlink>
    </w:p>
    <w:p w14:paraId="5E8F1314" w14:textId="77777777" w:rsidR="002B15AA" w:rsidRDefault="002B15AA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1DBCC78" w14:textId="759E39C9" w:rsidR="002B15AA" w:rsidRDefault="002B15AA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21BC816" wp14:editId="0ED7CC56">
            <wp:extent cx="4114800" cy="2371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B8A4" w14:textId="77777777" w:rsidR="002B15AA" w:rsidRDefault="002B15AA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DF7F888" w14:textId="77777777" w:rsidR="00A73A74" w:rsidRDefault="00A73A74" w:rsidP="00842903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Locate the entries for the NPSA accounts that are about to expire.</w:t>
      </w:r>
    </w:p>
    <w:p w14:paraId="0CEFAEC1" w14:textId="620FDF7A" w:rsidR="00A73A74" w:rsidRDefault="00A73A74" w:rsidP="00842903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Capture the current password for the account and store in the Notes section of the KeePass entry.</w:t>
      </w:r>
    </w:p>
    <w:p w14:paraId="0977922F" w14:textId="77777777" w:rsidR="001006D3" w:rsidRDefault="001006D3" w:rsidP="00A73A74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0EEB4C4" w14:textId="555B53B5" w:rsidR="001006D3" w:rsidRDefault="001006D3" w:rsidP="00A73A74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A72D42" wp14:editId="47800309">
            <wp:extent cx="461010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48A9" w14:textId="77777777" w:rsidR="001006D3" w:rsidRDefault="001006D3" w:rsidP="00A73A74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4ECE65C" w14:textId="640D5D30" w:rsidR="001006D3" w:rsidRDefault="00134F61" w:rsidP="00842903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t>Generate passwords</w:t>
      </w:r>
      <w:r w:rsidR="001006D3">
        <w:rPr>
          <w:rFonts w:asciiTheme="minorHAnsi" w:hAnsiTheme="minorHAnsi" w:cstheme="minorHAnsi"/>
          <w:sz w:val="24"/>
          <w:szCs w:val="24"/>
        </w:rPr>
        <w:t xml:space="preserve"> using the 128-bit hex key</w:t>
      </w:r>
      <w:r w:rsidRPr="00842903">
        <w:rPr>
          <w:rFonts w:asciiTheme="minorHAnsi" w:hAnsiTheme="minorHAnsi" w:cstheme="minorHAnsi"/>
          <w:sz w:val="24"/>
          <w:szCs w:val="24"/>
        </w:rPr>
        <w:t>.</w:t>
      </w:r>
    </w:p>
    <w:p w14:paraId="428361F7" w14:textId="63178DAA" w:rsidR="00A73A74" w:rsidRDefault="00A73A74" w:rsidP="00842903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These are the </w:t>
      </w:r>
      <w:r w:rsidR="00222FD2">
        <w:rPr>
          <w:rFonts w:asciiTheme="minorHAnsi" w:hAnsiTheme="minorHAnsi" w:cstheme="minorHAnsi"/>
          <w:sz w:val="24"/>
          <w:szCs w:val="24"/>
        </w:rPr>
        <w:t>requirements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1E37D241" w14:textId="6C9090D6" w:rsidR="00134F61" w:rsidRDefault="001006D3" w:rsidP="00A73A74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</w:t>
      </w:r>
      <w:r w:rsidR="00A73A74">
        <w:rPr>
          <w:rFonts w:asciiTheme="minorHAnsi" w:hAnsiTheme="minorHAnsi" w:cstheme="minorHAnsi"/>
          <w:sz w:val="24"/>
          <w:szCs w:val="24"/>
        </w:rPr>
        <w:t>5 characters</w:t>
      </w:r>
    </w:p>
    <w:p w14:paraId="0CA5879B" w14:textId="29415A99" w:rsidR="00A73A74" w:rsidRDefault="00A73A74" w:rsidP="00A73A74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Mixed case</w:t>
      </w:r>
    </w:p>
    <w:p w14:paraId="0BD2FD05" w14:textId="73FCFB33" w:rsidR="00A73A74" w:rsidRDefault="00A73A74" w:rsidP="00A73A74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At least 2 special characters (@ </w:t>
      </w:r>
      <w:proofErr w:type="gramStart"/>
      <w:r>
        <w:rPr>
          <w:rFonts w:asciiTheme="minorHAnsi" w:hAnsiTheme="minorHAnsi" w:cstheme="minorHAnsi"/>
          <w:sz w:val="24"/>
          <w:szCs w:val="24"/>
        </w:rPr>
        <w:t>&amp; ?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! &lt;) etc.</w:t>
      </w:r>
    </w:p>
    <w:p w14:paraId="38415FE4" w14:textId="1084441F" w:rsidR="00A73A74" w:rsidRDefault="00A73A74" w:rsidP="00A73A74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two repeating characters (Aa, EE, 11)</w:t>
      </w:r>
    </w:p>
    <w:p w14:paraId="42723D83" w14:textId="5CB34A6B" w:rsidR="00A73A74" w:rsidRDefault="00A73A74" w:rsidP="00A73A74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two characters in sequence (12, AB)</w:t>
      </w:r>
    </w:p>
    <w:p w14:paraId="4B3DC112" w14:textId="77777777" w:rsidR="00A73A74" w:rsidRPr="00A73A74" w:rsidRDefault="00A73A74" w:rsidP="00A73A7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BB91BAC" w14:textId="77777777" w:rsidR="00A73A74" w:rsidRDefault="00A73A74" w:rsidP="00A73A74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7BDB888" w14:textId="6B3133CE" w:rsidR="00A73A74" w:rsidRDefault="00A73A74" w:rsidP="00A73A74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9D545B" wp14:editId="03B9FDE8">
            <wp:extent cx="480060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4E67" w14:textId="77777777" w:rsidR="00A73A74" w:rsidRPr="00A87F2F" w:rsidRDefault="00A73A74" w:rsidP="00A87F2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51281E0" w14:textId="04CBB8FD" w:rsidR="00134F61" w:rsidRDefault="00134F61" w:rsidP="00842903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t xml:space="preserve">Update the password expiration per </w:t>
      </w:r>
      <w:r w:rsidR="00842903">
        <w:rPr>
          <w:rFonts w:asciiTheme="minorHAnsi" w:hAnsiTheme="minorHAnsi" w:cstheme="minorHAnsi"/>
          <w:sz w:val="24"/>
          <w:szCs w:val="24"/>
        </w:rPr>
        <w:t xml:space="preserve">KeePass </w:t>
      </w:r>
      <w:r w:rsidRPr="00842903">
        <w:rPr>
          <w:rFonts w:asciiTheme="minorHAnsi" w:hAnsiTheme="minorHAnsi" w:cstheme="minorHAnsi"/>
          <w:sz w:val="24"/>
          <w:szCs w:val="24"/>
        </w:rPr>
        <w:t>entry.</w:t>
      </w:r>
    </w:p>
    <w:p w14:paraId="01114028" w14:textId="77777777" w:rsidR="001006D3" w:rsidRDefault="001006D3" w:rsidP="001006D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587CA62" w14:textId="1B94C827" w:rsidR="001006D3" w:rsidRDefault="001006D3" w:rsidP="001006D3">
      <w:pPr>
        <w:spacing w:after="0" w:line="240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5CF3B23" wp14:editId="6A1C85AE">
            <wp:extent cx="5457825" cy="2305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07A2" w14:textId="77777777" w:rsidR="00A87F2F" w:rsidRDefault="00A87F2F" w:rsidP="001006D3">
      <w:pPr>
        <w:spacing w:after="0" w:line="240" w:lineRule="auto"/>
        <w:ind w:left="360"/>
        <w:rPr>
          <w:rFonts w:asciiTheme="minorHAnsi" w:hAnsiTheme="minorHAnsi" w:cstheme="minorHAnsi"/>
          <w:sz w:val="24"/>
          <w:szCs w:val="24"/>
        </w:rPr>
      </w:pPr>
    </w:p>
    <w:p w14:paraId="6930C1DE" w14:textId="77777777" w:rsidR="00A87F2F" w:rsidRPr="001006D3" w:rsidRDefault="00A87F2F" w:rsidP="001006D3">
      <w:pPr>
        <w:spacing w:after="0" w:line="240" w:lineRule="auto"/>
        <w:ind w:left="360"/>
        <w:rPr>
          <w:rFonts w:asciiTheme="minorHAnsi" w:hAnsiTheme="minorHAnsi" w:cstheme="minorHAnsi"/>
          <w:sz w:val="24"/>
          <w:szCs w:val="24"/>
        </w:rPr>
      </w:pPr>
    </w:p>
    <w:p w14:paraId="5E89CDF8" w14:textId="65F16542" w:rsidR="00134F61" w:rsidRDefault="00134F61" w:rsidP="00842903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lastRenderedPageBreak/>
        <w:t>Put AT nodes out of service via</w:t>
      </w:r>
      <w:r w:rsidR="00222FD2">
        <w:rPr>
          <w:rFonts w:asciiTheme="minorHAnsi" w:hAnsiTheme="minorHAnsi" w:cstheme="minorHAnsi"/>
          <w:sz w:val="24"/>
          <w:szCs w:val="24"/>
        </w:rPr>
        <w:t xml:space="preserve">:  </w:t>
      </w:r>
      <w:hyperlink r:id="rId13" w:history="1">
        <w:r w:rsidR="00222FD2" w:rsidRPr="001014F5">
          <w:rPr>
            <w:rStyle w:val="Hyperlink"/>
            <w:rFonts w:asciiTheme="minorHAnsi" w:hAnsiTheme="minorHAnsi" w:cstheme="minorHAnsi"/>
            <w:sz w:val="24"/>
            <w:szCs w:val="24"/>
          </w:rPr>
          <w:t>http://gsm</w:t>
        </w:r>
      </w:hyperlink>
    </w:p>
    <w:p w14:paraId="5F938310" w14:textId="677E4530" w:rsidR="005E6814" w:rsidRPr="00842903" w:rsidRDefault="005E6814" w:rsidP="005E6814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312916" wp14:editId="63022B59">
            <wp:extent cx="4543425" cy="465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6A43" w14:textId="77777777" w:rsidR="00C34370" w:rsidRPr="007963D4" w:rsidRDefault="00C34370" w:rsidP="009532E0">
      <w:pPr>
        <w:spacing w:after="0" w:line="240" w:lineRule="auto"/>
        <w:jc w:val="right"/>
        <w:rPr>
          <w:rFonts w:asciiTheme="minorHAnsi" w:hAnsiTheme="minorHAnsi" w:cstheme="minorHAnsi"/>
          <w:b/>
          <w:sz w:val="24"/>
          <w:szCs w:val="24"/>
        </w:rPr>
      </w:pPr>
    </w:p>
    <w:p w14:paraId="6C652CCC" w14:textId="0F593706" w:rsidR="00134F61" w:rsidRPr="007963D4" w:rsidRDefault="00134F61" w:rsidP="00134F61">
      <w:pPr>
        <w:spacing w:after="0" w:line="240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Stop Team Foundation Server</w:t>
      </w:r>
    </w:p>
    <w:p w14:paraId="00746F85" w14:textId="77777777" w:rsidR="00134F61" w:rsidRPr="007963D4" w:rsidRDefault="00134F61" w:rsidP="00134F61">
      <w:pPr>
        <w:spacing w:after="0" w:line="240" w:lineRule="auto"/>
        <w:rPr>
          <w:rFonts w:asciiTheme="minorHAnsi" w:hAnsiTheme="minorHAnsi" w:cstheme="minorHAnsi"/>
          <w:b/>
          <w:sz w:val="28"/>
        </w:rPr>
      </w:pPr>
    </w:p>
    <w:p w14:paraId="4CE33BA7" w14:textId="447447F0" w:rsidR="005E6814" w:rsidRDefault="005E6814" w:rsidP="0084290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Wait until Out of Service window starts.</w:t>
      </w:r>
    </w:p>
    <w:p w14:paraId="63D1CB99" w14:textId="316E1BAA" w:rsidR="005E6814" w:rsidRDefault="00222FD2" w:rsidP="0084290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 Remote Desktop to connect to the</w:t>
      </w:r>
      <w:r w:rsidR="005E6814">
        <w:rPr>
          <w:rFonts w:asciiTheme="minorHAnsi" w:hAnsiTheme="minorHAnsi" w:cstheme="minorHAnsi"/>
          <w:sz w:val="24"/>
          <w:szCs w:val="24"/>
        </w:rPr>
        <w:t xml:space="preserve"> application tier nodes (tfsprod01, 02), </w:t>
      </w:r>
      <w:r w:rsidR="00A87F2F">
        <w:rPr>
          <w:rFonts w:asciiTheme="minorHAnsi" w:hAnsiTheme="minorHAnsi" w:cstheme="minorHAnsi"/>
          <w:sz w:val="24"/>
          <w:szCs w:val="24"/>
        </w:rPr>
        <w:t>and open</w:t>
      </w:r>
      <w:r w:rsidR="005E6814">
        <w:rPr>
          <w:rFonts w:asciiTheme="minorHAnsi" w:hAnsiTheme="minorHAnsi" w:cstheme="minorHAnsi"/>
          <w:sz w:val="24"/>
          <w:szCs w:val="24"/>
        </w:rPr>
        <w:t xml:space="preserve"> IIS Manager.</w:t>
      </w:r>
      <w:r>
        <w:rPr>
          <w:rFonts w:asciiTheme="minorHAnsi" w:hAnsiTheme="minorHAnsi" w:cstheme="minorHAnsi"/>
          <w:sz w:val="24"/>
          <w:szCs w:val="24"/>
        </w:rPr>
        <w:t xml:space="preserve">  You can find the management applications pinned to the taskbar on all servers.</w:t>
      </w:r>
    </w:p>
    <w:p w14:paraId="44EC95DF" w14:textId="1FB77165" w:rsidR="005E6814" w:rsidRDefault="005E6814" w:rsidP="0084290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Under sites, stop the Team Foundation Server Health Check site.</w:t>
      </w:r>
    </w:p>
    <w:p w14:paraId="11F283D0" w14:textId="77777777" w:rsidR="005E6814" w:rsidRDefault="005E6814" w:rsidP="005E681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0D125A5" w14:textId="2C2CF190" w:rsidR="005E6814" w:rsidRDefault="005E6814" w:rsidP="005E681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3BFA67" wp14:editId="3F021A22">
            <wp:extent cx="5791200" cy="269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6696" w14:textId="77777777" w:rsidR="005E6814" w:rsidRPr="005E6814" w:rsidRDefault="005E6814" w:rsidP="005E681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EE64AB2" w14:textId="2B28525D" w:rsidR="00134F61" w:rsidRDefault="005E6814" w:rsidP="0084290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Under application pools, s</w:t>
      </w:r>
      <w:r w:rsidR="00134F61" w:rsidRPr="00842903">
        <w:rPr>
          <w:rFonts w:asciiTheme="minorHAnsi" w:hAnsiTheme="minorHAnsi" w:cstheme="minorHAnsi"/>
          <w:sz w:val="24"/>
          <w:szCs w:val="24"/>
        </w:rPr>
        <w:t xml:space="preserve">top </w:t>
      </w: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="00134F61" w:rsidRPr="00842903">
        <w:rPr>
          <w:rFonts w:asciiTheme="minorHAnsi" w:hAnsiTheme="minorHAnsi" w:cstheme="minorHAnsi"/>
          <w:sz w:val="24"/>
          <w:szCs w:val="24"/>
        </w:rPr>
        <w:t>Health Check .NET application pool.</w:t>
      </w:r>
    </w:p>
    <w:p w14:paraId="2C07FCCC" w14:textId="77777777" w:rsidR="005E6814" w:rsidRDefault="005E6814" w:rsidP="005E6814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545E6FF" w14:textId="3F0F0B96" w:rsidR="005E6814" w:rsidRPr="005E6814" w:rsidRDefault="005E6814" w:rsidP="005E6814">
      <w:pPr>
        <w:pStyle w:val="ListParagraph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F3C4D0A" wp14:editId="0764406B">
            <wp:extent cx="5353050" cy="126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ACF6" w14:textId="77777777" w:rsidR="005E6814" w:rsidRDefault="005E6814" w:rsidP="005E6814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5BBB388" w14:textId="77777777" w:rsidR="005E6814" w:rsidRPr="00842903" w:rsidRDefault="005E6814" w:rsidP="005E6814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3CC6C2C" w14:textId="77777777" w:rsidR="00134F61" w:rsidRDefault="00134F61" w:rsidP="0084290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t>Stop TFS Background Agent service.</w:t>
      </w:r>
    </w:p>
    <w:p w14:paraId="72C4F82D" w14:textId="77777777" w:rsidR="005E6814" w:rsidRDefault="005E6814" w:rsidP="005E6814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979F33A" w14:textId="22B0D268" w:rsidR="005E6814" w:rsidRDefault="005E6814" w:rsidP="005E6814">
      <w:pPr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484A456" wp14:editId="14DCB97F">
            <wp:extent cx="5943600" cy="668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70B6" w14:textId="77777777" w:rsidR="005E6814" w:rsidRPr="005E6814" w:rsidRDefault="005E6814" w:rsidP="005E6814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DB99AE4" w14:textId="645EC832" w:rsidR="00134F61" w:rsidRDefault="00134F61" w:rsidP="0084290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t>Stop SharePoint Timer service.</w:t>
      </w:r>
    </w:p>
    <w:p w14:paraId="0971DBA6" w14:textId="77777777" w:rsidR="005E6814" w:rsidRDefault="005E6814" w:rsidP="005E6814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004282C" w14:textId="7DCF85F4" w:rsidR="005E6814" w:rsidRDefault="005E6814" w:rsidP="005E6814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D52EC69" wp14:editId="11443AE9">
            <wp:extent cx="5848350" cy="77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369C" w14:textId="77777777" w:rsidR="005E6814" w:rsidRDefault="005E6814" w:rsidP="005E6814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2427EF8" w14:textId="0E8A50B2" w:rsidR="005E6814" w:rsidRDefault="005E6814" w:rsidP="005E6814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Repeat steps</w:t>
      </w:r>
      <w:r w:rsidR="00A87F2F">
        <w:rPr>
          <w:rFonts w:asciiTheme="minorHAnsi" w:hAnsiTheme="minorHAnsi" w:cstheme="minorHAnsi"/>
          <w:sz w:val="24"/>
          <w:szCs w:val="24"/>
        </w:rPr>
        <w:t xml:space="preserve"> 2-6</w:t>
      </w:r>
      <w:r>
        <w:rPr>
          <w:rFonts w:asciiTheme="minorHAnsi" w:hAnsiTheme="minorHAnsi" w:cstheme="minorHAnsi"/>
          <w:sz w:val="24"/>
          <w:szCs w:val="24"/>
        </w:rPr>
        <w:t xml:space="preserve"> on second application tier node.</w:t>
      </w:r>
    </w:p>
    <w:p w14:paraId="1925E38E" w14:textId="1F24CFBE" w:rsidR="005E6814" w:rsidRDefault="005E6814" w:rsidP="005E6814">
      <w:pPr>
        <w:pStyle w:val="ListParagraph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02BAE0F1" w14:textId="77777777" w:rsidR="005E6814" w:rsidRDefault="005E6814" w:rsidP="005E6814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194AA0E" w14:textId="77777777" w:rsidR="005E6814" w:rsidRDefault="005E6814" w:rsidP="005E6814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1C83855" w14:textId="77777777" w:rsidR="005E6814" w:rsidRPr="00842903" w:rsidRDefault="005E6814" w:rsidP="005E6814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47807E6" w14:textId="77777777" w:rsidR="00134F61" w:rsidRPr="007963D4" w:rsidRDefault="00134F61" w:rsidP="00134F61">
      <w:pPr>
        <w:spacing w:after="0" w:line="240" w:lineRule="auto"/>
        <w:jc w:val="right"/>
        <w:rPr>
          <w:rFonts w:asciiTheme="minorHAnsi" w:hAnsiTheme="minorHAnsi" w:cstheme="minorHAnsi"/>
          <w:b/>
          <w:sz w:val="24"/>
          <w:szCs w:val="24"/>
        </w:rPr>
      </w:pPr>
    </w:p>
    <w:p w14:paraId="6BD3F20C" w14:textId="76BD02AB" w:rsidR="00134F61" w:rsidRPr="007963D4" w:rsidRDefault="00134F61" w:rsidP="00134F61">
      <w:pPr>
        <w:spacing w:after="0" w:line="240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Reset Passwords</w:t>
      </w:r>
    </w:p>
    <w:p w14:paraId="3CF99AFD" w14:textId="77777777" w:rsidR="00134F61" w:rsidRPr="007963D4" w:rsidRDefault="00134F61" w:rsidP="00134F61">
      <w:pPr>
        <w:spacing w:after="0" w:line="240" w:lineRule="auto"/>
        <w:rPr>
          <w:rFonts w:asciiTheme="minorHAnsi" w:hAnsiTheme="minorHAnsi" w:cstheme="minorHAnsi"/>
          <w:b/>
          <w:sz w:val="28"/>
        </w:rPr>
      </w:pPr>
    </w:p>
    <w:p w14:paraId="5977DA98" w14:textId="7430A0B0" w:rsidR="00EA1991" w:rsidRDefault="00134F61" w:rsidP="0084290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t xml:space="preserve">Contact help desk and do a manual reset on </w:t>
      </w:r>
      <w:r w:rsidR="00842903">
        <w:rPr>
          <w:rFonts w:asciiTheme="minorHAnsi" w:hAnsiTheme="minorHAnsi" w:cstheme="minorHAnsi"/>
          <w:sz w:val="24"/>
          <w:szCs w:val="24"/>
        </w:rPr>
        <w:t xml:space="preserve">all </w:t>
      </w:r>
      <w:r w:rsidRPr="00842903">
        <w:rPr>
          <w:rFonts w:asciiTheme="minorHAnsi" w:hAnsiTheme="minorHAnsi" w:cstheme="minorHAnsi"/>
          <w:sz w:val="24"/>
          <w:szCs w:val="24"/>
        </w:rPr>
        <w:t>the necessary passwords.</w:t>
      </w:r>
      <w:r w:rsidR="000D00DB">
        <w:rPr>
          <w:rFonts w:asciiTheme="minorHAnsi" w:hAnsiTheme="minorHAnsi" w:cstheme="minorHAnsi"/>
          <w:sz w:val="24"/>
          <w:szCs w:val="24"/>
        </w:rPr>
        <w:t xml:space="preserve">  3-1000, Option 1.  You </w:t>
      </w:r>
      <w:r w:rsidR="00EA1991" w:rsidRPr="00222FD2">
        <w:rPr>
          <w:rFonts w:asciiTheme="minorHAnsi" w:hAnsiTheme="minorHAnsi" w:cstheme="minorHAnsi"/>
          <w:b/>
          <w:sz w:val="24"/>
          <w:szCs w:val="24"/>
        </w:rPr>
        <w:t>must</w:t>
      </w:r>
      <w:r w:rsidR="00EA1991">
        <w:rPr>
          <w:rFonts w:asciiTheme="minorHAnsi" w:hAnsiTheme="minorHAnsi" w:cstheme="minorHAnsi"/>
          <w:sz w:val="24"/>
          <w:szCs w:val="24"/>
        </w:rPr>
        <w:t xml:space="preserve"> be a </w:t>
      </w:r>
      <w:r w:rsidR="000D00DB">
        <w:rPr>
          <w:rFonts w:asciiTheme="minorHAnsi" w:hAnsiTheme="minorHAnsi" w:cstheme="minorHAnsi"/>
          <w:sz w:val="24"/>
          <w:szCs w:val="24"/>
        </w:rPr>
        <w:t>custodian</w:t>
      </w:r>
      <w:r w:rsidR="00EA1991">
        <w:rPr>
          <w:rFonts w:asciiTheme="minorHAnsi" w:hAnsiTheme="minorHAnsi" w:cstheme="minorHAnsi"/>
          <w:sz w:val="24"/>
          <w:szCs w:val="24"/>
        </w:rPr>
        <w:t xml:space="preserve"> for the NPSA accounts</w:t>
      </w:r>
      <w:r w:rsidR="00222FD2">
        <w:rPr>
          <w:rFonts w:asciiTheme="minorHAnsi" w:hAnsiTheme="minorHAnsi" w:cstheme="minorHAnsi"/>
          <w:sz w:val="24"/>
          <w:szCs w:val="24"/>
        </w:rPr>
        <w:t xml:space="preserve"> to reset.</w:t>
      </w:r>
    </w:p>
    <w:p w14:paraId="4EBBB3A7" w14:textId="5C6A8076" w:rsidR="00134F61" w:rsidRDefault="00222FD2" w:rsidP="0084290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Due to the number of passwords that you will be resetting, use </w:t>
      </w:r>
      <w:r w:rsidR="00842903">
        <w:rPr>
          <w:rFonts w:asciiTheme="minorHAnsi" w:hAnsiTheme="minorHAnsi" w:cstheme="minorHAnsi"/>
          <w:sz w:val="24"/>
          <w:szCs w:val="24"/>
        </w:rPr>
        <w:t>Skype</w:t>
      </w:r>
      <w:r>
        <w:rPr>
          <w:rFonts w:asciiTheme="minorHAnsi" w:hAnsiTheme="minorHAnsi" w:cstheme="minorHAnsi"/>
          <w:sz w:val="24"/>
          <w:szCs w:val="24"/>
        </w:rPr>
        <w:t xml:space="preserve"> for Business</w:t>
      </w:r>
      <w:r w:rsidR="00842903">
        <w:rPr>
          <w:rFonts w:asciiTheme="minorHAnsi" w:hAnsiTheme="minorHAnsi" w:cstheme="minorHAnsi"/>
          <w:sz w:val="24"/>
          <w:szCs w:val="24"/>
        </w:rPr>
        <w:t xml:space="preserve"> with the support engineer </w:t>
      </w:r>
      <w:r>
        <w:rPr>
          <w:rFonts w:asciiTheme="minorHAnsi" w:hAnsiTheme="minorHAnsi" w:cstheme="minorHAnsi"/>
          <w:sz w:val="24"/>
          <w:szCs w:val="24"/>
        </w:rPr>
        <w:t>to copy/paste the accounts and new passwords.</w:t>
      </w:r>
      <w:r w:rsidR="00A87F2F">
        <w:rPr>
          <w:rFonts w:asciiTheme="minorHAnsi" w:hAnsiTheme="minorHAnsi" w:cstheme="minorHAnsi"/>
          <w:sz w:val="24"/>
          <w:szCs w:val="24"/>
        </w:rPr>
        <w:t xml:space="preserve">  </w:t>
      </w:r>
      <w:r w:rsidR="006A1587">
        <w:rPr>
          <w:rFonts w:asciiTheme="minorHAnsi" w:hAnsiTheme="minorHAnsi" w:cstheme="minorHAnsi"/>
          <w:sz w:val="24"/>
          <w:szCs w:val="24"/>
        </w:rPr>
        <w:t>Ask</w:t>
      </w:r>
      <w:r w:rsidR="00A87F2F">
        <w:rPr>
          <w:rFonts w:asciiTheme="minorHAnsi" w:hAnsiTheme="minorHAnsi" w:cstheme="minorHAnsi"/>
          <w:sz w:val="24"/>
          <w:szCs w:val="24"/>
        </w:rPr>
        <w:t xml:space="preserve"> the support engineer </w:t>
      </w:r>
      <w:r w:rsidR="006A1587">
        <w:rPr>
          <w:rFonts w:asciiTheme="minorHAnsi" w:hAnsiTheme="minorHAnsi" w:cstheme="minorHAnsi"/>
          <w:sz w:val="24"/>
          <w:szCs w:val="24"/>
        </w:rPr>
        <w:t xml:space="preserve">to </w:t>
      </w:r>
      <w:r w:rsidR="00A87F2F">
        <w:rPr>
          <w:rFonts w:asciiTheme="minorHAnsi" w:hAnsiTheme="minorHAnsi" w:cstheme="minorHAnsi"/>
          <w:sz w:val="24"/>
          <w:szCs w:val="24"/>
        </w:rPr>
        <w:t xml:space="preserve">do a “hard reset” using the passwords </w:t>
      </w:r>
      <w:r w:rsidR="006A1587">
        <w:rPr>
          <w:rFonts w:asciiTheme="minorHAnsi" w:hAnsiTheme="minorHAnsi" w:cstheme="minorHAnsi"/>
          <w:sz w:val="24"/>
          <w:szCs w:val="24"/>
        </w:rPr>
        <w:t>that you are providing</w:t>
      </w:r>
      <w:r w:rsidR="00A87F2F">
        <w:rPr>
          <w:rFonts w:asciiTheme="minorHAnsi" w:hAnsiTheme="minorHAnsi" w:cstheme="minorHAnsi"/>
          <w:sz w:val="24"/>
          <w:szCs w:val="24"/>
        </w:rPr>
        <w:t>.</w:t>
      </w:r>
    </w:p>
    <w:p w14:paraId="1684764A" w14:textId="507E6DB9" w:rsidR="00842903" w:rsidRDefault="00842903" w:rsidP="0084290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Update TFS Backgroun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d Agent service with updated credentials, but do NOT start the service.</w:t>
      </w:r>
    </w:p>
    <w:p w14:paraId="63BD6009" w14:textId="77777777" w:rsidR="00222FD2" w:rsidRDefault="00222FD2" w:rsidP="00222FD2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9486972" w14:textId="204DACAF" w:rsidR="00222FD2" w:rsidRDefault="00222FD2" w:rsidP="00222FD2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EE676D6" wp14:editId="726F1934">
            <wp:extent cx="5943600" cy="1943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D8D4" w14:textId="77777777" w:rsidR="00222FD2" w:rsidRDefault="00222FD2" w:rsidP="00222FD2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1E1EFE7" w14:textId="185813D1" w:rsidR="00222FD2" w:rsidRDefault="00222FD2" w:rsidP="00222FD2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FCECC8" wp14:editId="53145C71">
            <wp:extent cx="3990975" cy="4505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8798" w14:textId="77777777" w:rsidR="00222FD2" w:rsidRDefault="00222FD2" w:rsidP="00222FD2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A02087E" w14:textId="77777777" w:rsidR="00222FD2" w:rsidRDefault="00222FD2" w:rsidP="00222FD2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70A82F7" w14:textId="74EA8903" w:rsidR="00134F61" w:rsidRDefault="00134F61" w:rsidP="0084290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t>Update TFSSERVICE account via TFS Administration Console.  TFS Background Agent service will start on its own.</w:t>
      </w:r>
    </w:p>
    <w:p w14:paraId="4F2B4633" w14:textId="77777777" w:rsidR="00222FD2" w:rsidRDefault="00222FD2" w:rsidP="00222FD2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A30E2A0" w14:textId="4872D415" w:rsidR="00222FD2" w:rsidRDefault="002B15AA" w:rsidP="00222FD2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3EF59A" wp14:editId="3536324C">
            <wp:extent cx="5943600" cy="3996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589A" w14:textId="77777777" w:rsidR="002B15AA" w:rsidRDefault="002B15AA" w:rsidP="00222FD2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237F615" w14:textId="5B2C3695" w:rsidR="002B15AA" w:rsidRDefault="002B15AA" w:rsidP="00222FD2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36D482" wp14:editId="34836C06">
            <wp:extent cx="4295775" cy="2286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B09E" w14:textId="77777777" w:rsidR="002B15AA" w:rsidRDefault="002B15AA" w:rsidP="00222FD2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F8B5029" w14:textId="61843B0A" w:rsidR="002B15AA" w:rsidRDefault="002B15AA" w:rsidP="00222FD2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D9DE21" wp14:editId="492B5641">
            <wp:extent cx="5705475" cy="4572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F4A2" w14:textId="77777777" w:rsidR="00222FD2" w:rsidRPr="00842903" w:rsidRDefault="00222FD2" w:rsidP="00222FD2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A185C18" w14:textId="4B544415" w:rsidR="002B15AA" w:rsidRDefault="002B15AA" w:rsidP="0084290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t xml:space="preserve">Update </w:t>
      </w:r>
      <w:r>
        <w:rPr>
          <w:rFonts w:asciiTheme="minorHAnsi" w:hAnsiTheme="minorHAnsi" w:cstheme="minorHAnsi"/>
          <w:sz w:val="24"/>
          <w:szCs w:val="24"/>
        </w:rPr>
        <w:t>the password for the TFSREPORTS</w:t>
      </w:r>
      <w:r w:rsidRPr="00842903">
        <w:rPr>
          <w:rFonts w:asciiTheme="minorHAnsi" w:hAnsiTheme="minorHAnsi" w:cstheme="minorHAnsi"/>
          <w:sz w:val="24"/>
          <w:szCs w:val="24"/>
        </w:rPr>
        <w:t xml:space="preserve"> account via TFS Administration Console.</w:t>
      </w:r>
    </w:p>
    <w:p w14:paraId="3CA1C85E" w14:textId="77777777" w:rsidR="002B15AA" w:rsidRDefault="002B15AA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C32EBB2" w14:textId="0C2B4D1B" w:rsidR="002B15AA" w:rsidRDefault="002B15AA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439BCED" wp14:editId="6611D22C">
            <wp:extent cx="5505450" cy="1495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734B" w14:textId="68863CA5" w:rsidR="002B15AA" w:rsidRDefault="002B15AA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4B8C869" w14:textId="6B04BA28" w:rsidR="002B15AA" w:rsidRDefault="002B15AA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668293" wp14:editId="0AAC0691">
            <wp:extent cx="4257675" cy="2152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8EE5" w14:textId="77777777" w:rsidR="002B15AA" w:rsidRDefault="002B15AA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6969339" w14:textId="1FB2B109" w:rsidR="002B15AA" w:rsidRDefault="002B15AA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3E716D" wp14:editId="67923431">
            <wp:extent cx="5715000" cy="4552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B21" w14:textId="77777777" w:rsidR="00A87F2F" w:rsidRDefault="00A87F2F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94F07D5" w14:textId="67EE3890" w:rsidR="00134F61" w:rsidRDefault="00134F61" w:rsidP="0084290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t xml:space="preserve">Update TFS Health Check </w:t>
      </w:r>
      <w:r w:rsidR="00842903">
        <w:rPr>
          <w:rFonts w:asciiTheme="minorHAnsi" w:hAnsiTheme="minorHAnsi" w:cstheme="minorHAnsi"/>
          <w:sz w:val="24"/>
          <w:szCs w:val="24"/>
        </w:rPr>
        <w:t>application pool</w:t>
      </w:r>
      <w:r w:rsidRPr="00842903">
        <w:rPr>
          <w:rFonts w:asciiTheme="minorHAnsi" w:hAnsiTheme="minorHAnsi" w:cstheme="minorHAnsi"/>
          <w:sz w:val="24"/>
          <w:szCs w:val="24"/>
        </w:rPr>
        <w:t xml:space="preserve"> on AT nodes.  </w:t>
      </w:r>
      <w:r w:rsidR="002B15AA">
        <w:rPr>
          <w:rFonts w:asciiTheme="minorHAnsi" w:hAnsiTheme="minorHAnsi" w:cstheme="minorHAnsi"/>
          <w:sz w:val="24"/>
          <w:szCs w:val="24"/>
        </w:rPr>
        <w:t>[</w:t>
      </w:r>
      <w:r w:rsidRPr="00842903">
        <w:rPr>
          <w:rFonts w:asciiTheme="minorHAnsi" w:hAnsiTheme="minorHAnsi" w:cstheme="minorHAnsi"/>
          <w:sz w:val="24"/>
          <w:szCs w:val="24"/>
        </w:rPr>
        <w:t>TFSSERVICE</w:t>
      </w:r>
      <w:r w:rsidR="002B15AA">
        <w:rPr>
          <w:rFonts w:asciiTheme="minorHAnsi" w:hAnsiTheme="minorHAnsi" w:cstheme="minorHAnsi"/>
          <w:sz w:val="24"/>
          <w:szCs w:val="24"/>
        </w:rPr>
        <w:t>]</w:t>
      </w:r>
      <w:r w:rsidRPr="00842903">
        <w:rPr>
          <w:rFonts w:asciiTheme="minorHAnsi" w:hAnsiTheme="minorHAnsi" w:cstheme="minorHAnsi"/>
          <w:sz w:val="24"/>
          <w:szCs w:val="24"/>
        </w:rPr>
        <w:t xml:space="preserve"> credentials need to be updated</w:t>
      </w:r>
      <w:r w:rsidR="00842903">
        <w:rPr>
          <w:rFonts w:asciiTheme="minorHAnsi" w:hAnsiTheme="minorHAnsi" w:cstheme="minorHAnsi"/>
          <w:sz w:val="24"/>
          <w:szCs w:val="24"/>
        </w:rPr>
        <w:t>.</w:t>
      </w:r>
    </w:p>
    <w:p w14:paraId="38FCCA20" w14:textId="77777777" w:rsidR="002B15AA" w:rsidRDefault="002B15AA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552AEE5" w14:textId="57839A90" w:rsidR="00A87F2F" w:rsidRDefault="00A87F2F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CD7C3F" wp14:editId="5C247957">
            <wp:extent cx="5143500" cy="1962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F391" w14:textId="77777777" w:rsidR="00A87F2F" w:rsidRDefault="00A87F2F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64A6D58" w14:textId="4D1AA684" w:rsidR="00A87F2F" w:rsidRDefault="00A87F2F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272E8C1" wp14:editId="5D57DC93">
            <wp:extent cx="5362575" cy="1419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D08B" w14:textId="77777777" w:rsidR="00A87F2F" w:rsidRDefault="00A87F2F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2BCB46D" w14:textId="2B9F1D18" w:rsidR="00A87F2F" w:rsidRDefault="00A87F2F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22BED06" wp14:editId="3A30C7B6">
            <wp:extent cx="4229100" cy="2419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2D1C" w14:textId="77777777" w:rsidR="002B15AA" w:rsidRDefault="002B15AA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C6A645C" w14:textId="679E429B" w:rsidR="00A87F2F" w:rsidRDefault="00A87F2F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6E1651" wp14:editId="435AEB61">
            <wp:extent cx="3228975" cy="2466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CCCC" w14:textId="77777777" w:rsidR="00A87F2F" w:rsidRDefault="00A87F2F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0A51ACB" w14:textId="77777777" w:rsidR="00A87F2F" w:rsidRPr="00842903" w:rsidRDefault="00A87F2F" w:rsidP="002B15AA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7EC68DF" w14:textId="19E185B3" w:rsidR="00134F61" w:rsidRDefault="00134F61" w:rsidP="0084290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t>Update SharePoint Central Administration application pool identity credentials.</w:t>
      </w:r>
      <w:r w:rsidR="00C701F1">
        <w:rPr>
          <w:rFonts w:asciiTheme="minorHAnsi" w:hAnsiTheme="minorHAnsi" w:cstheme="minorHAnsi"/>
          <w:sz w:val="24"/>
          <w:szCs w:val="24"/>
        </w:rPr>
        <w:t xml:space="preserve">  Recycle the application pool.</w:t>
      </w:r>
    </w:p>
    <w:p w14:paraId="62280EF4" w14:textId="77777777" w:rsidR="00E20AC7" w:rsidRDefault="00E20AC7" w:rsidP="00E20AC7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A3ADD80" w14:textId="11AF90B3" w:rsidR="00E20AC7" w:rsidRDefault="00E20AC7" w:rsidP="00E20AC7">
      <w:pPr>
        <w:pStyle w:val="ListParagraph"/>
        <w:spacing w:after="0" w:line="240" w:lineRule="auto"/>
        <w:rPr>
          <w:rStyle w:val="Emphasis"/>
        </w:rPr>
      </w:pPr>
      <w:r w:rsidRPr="00E20AC7">
        <w:rPr>
          <w:rStyle w:val="Emphasis"/>
        </w:rPr>
        <w:t xml:space="preserve">Note:  Sometimes, the TFS Administration Console does not update all the necessary IIS Application Pool entries.  In the event that some application pools do not start up eventually, update the </w:t>
      </w:r>
      <w:r>
        <w:rPr>
          <w:rStyle w:val="Emphasis"/>
        </w:rPr>
        <w:t xml:space="preserve">IIS </w:t>
      </w:r>
      <w:r w:rsidRPr="00E20AC7">
        <w:rPr>
          <w:rStyle w:val="Emphasis"/>
        </w:rPr>
        <w:t>application pool credentials manually, and start the application pool manually.  Wait a few minutes, then refresh to make sure they are still running.</w:t>
      </w:r>
      <w:r w:rsidR="006A1587">
        <w:rPr>
          <w:rStyle w:val="Emphasis"/>
        </w:rPr>
        <w:t xml:space="preserve">  Watch the Application Log in Event Viewer.</w:t>
      </w:r>
    </w:p>
    <w:p w14:paraId="35D2983C" w14:textId="77777777" w:rsidR="00E20AC7" w:rsidRPr="00E20AC7" w:rsidRDefault="00E20AC7" w:rsidP="00E20AC7">
      <w:pPr>
        <w:pStyle w:val="ListParagraph"/>
        <w:spacing w:after="0" w:line="240" w:lineRule="auto"/>
        <w:rPr>
          <w:rStyle w:val="Emphasis"/>
        </w:rPr>
      </w:pPr>
    </w:p>
    <w:p w14:paraId="7939A760" w14:textId="6B11D6BB" w:rsidR="00C701F1" w:rsidRDefault="00C701F1" w:rsidP="0084290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t>Update SharePoint Timer Service credentials</w:t>
      </w:r>
      <w:r>
        <w:rPr>
          <w:rFonts w:asciiTheme="minorHAnsi" w:hAnsiTheme="minorHAnsi" w:cstheme="minorHAnsi"/>
          <w:sz w:val="24"/>
          <w:szCs w:val="24"/>
        </w:rPr>
        <w:t xml:space="preserve"> manually</w:t>
      </w:r>
      <w:r w:rsidRPr="00842903">
        <w:rPr>
          <w:rFonts w:asciiTheme="minorHAnsi" w:hAnsiTheme="minorHAnsi" w:cstheme="minorHAnsi"/>
          <w:sz w:val="24"/>
          <w:szCs w:val="24"/>
        </w:rPr>
        <w:t>.</w:t>
      </w:r>
    </w:p>
    <w:p w14:paraId="5BAB8DF1" w14:textId="149C5B07" w:rsidR="00C701F1" w:rsidRPr="00842903" w:rsidRDefault="00C701F1" w:rsidP="0084290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Start SharePoint Timer Service manually.</w:t>
      </w:r>
    </w:p>
    <w:p w14:paraId="537FFB77" w14:textId="77777777" w:rsidR="00134F61" w:rsidRPr="00842903" w:rsidRDefault="00134F61" w:rsidP="0084290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t>Update managed accounts in SharePoint.</w:t>
      </w:r>
    </w:p>
    <w:p w14:paraId="6FDEF6DE" w14:textId="77777777" w:rsidR="00134F61" w:rsidRPr="00842903" w:rsidRDefault="00134F61" w:rsidP="0084290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t xml:space="preserve">Each node:  </w:t>
      </w:r>
      <w:proofErr w:type="spellStart"/>
      <w:r w:rsidRPr="00842903">
        <w:rPr>
          <w:rFonts w:asciiTheme="minorHAnsi" w:hAnsiTheme="minorHAnsi" w:cstheme="minorHAnsi"/>
          <w:sz w:val="24"/>
          <w:szCs w:val="24"/>
        </w:rPr>
        <w:t>iisreset</w:t>
      </w:r>
      <w:proofErr w:type="spellEnd"/>
      <w:r w:rsidRPr="00842903">
        <w:rPr>
          <w:rFonts w:asciiTheme="minorHAnsi" w:hAnsiTheme="minorHAnsi" w:cstheme="minorHAnsi"/>
          <w:sz w:val="24"/>
          <w:szCs w:val="24"/>
        </w:rPr>
        <w:t xml:space="preserve"> /</w:t>
      </w:r>
      <w:proofErr w:type="spellStart"/>
      <w:r w:rsidRPr="00842903">
        <w:rPr>
          <w:rFonts w:asciiTheme="minorHAnsi" w:hAnsiTheme="minorHAnsi" w:cstheme="minorHAnsi"/>
          <w:sz w:val="24"/>
          <w:szCs w:val="24"/>
        </w:rPr>
        <w:t>noforce</w:t>
      </w:r>
      <w:proofErr w:type="spellEnd"/>
    </w:p>
    <w:p w14:paraId="15778818" w14:textId="63C78B58" w:rsidR="00134F61" w:rsidRPr="00842903" w:rsidRDefault="00134F61" w:rsidP="00842903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56B1059" w14:textId="77777777" w:rsidR="00134F61" w:rsidRDefault="00134F61" w:rsidP="00134F6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ED4A280" w14:textId="4C48710D" w:rsidR="00134F61" w:rsidRPr="007963D4" w:rsidRDefault="00134F61" w:rsidP="00134F61">
      <w:pPr>
        <w:spacing w:after="0" w:line="240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Start</w:t>
      </w:r>
      <w:r>
        <w:rPr>
          <w:rFonts w:asciiTheme="minorHAnsi" w:hAnsiTheme="minorHAnsi" w:cstheme="minorHAnsi"/>
          <w:b/>
          <w:sz w:val="28"/>
        </w:rPr>
        <w:t xml:space="preserve"> Team Foundation Server</w:t>
      </w:r>
    </w:p>
    <w:p w14:paraId="0E6ACB57" w14:textId="77777777" w:rsidR="00134F61" w:rsidRPr="007963D4" w:rsidRDefault="00134F61" w:rsidP="00134F61">
      <w:pPr>
        <w:spacing w:after="0" w:line="240" w:lineRule="auto"/>
        <w:rPr>
          <w:rFonts w:asciiTheme="minorHAnsi" w:hAnsiTheme="minorHAnsi" w:cstheme="minorHAnsi"/>
          <w:b/>
          <w:sz w:val="28"/>
        </w:rPr>
      </w:pPr>
    </w:p>
    <w:p w14:paraId="32077CFB" w14:textId="7F885DB6" w:rsidR="00134F61" w:rsidRDefault="00842903" w:rsidP="0084290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Start </w:t>
      </w:r>
      <w:r w:rsidR="00134F61" w:rsidRPr="00842903">
        <w:rPr>
          <w:rFonts w:asciiTheme="minorHAnsi" w:hAnsiTheme="minorHAnsi" w:cstheme="minorHAnsi"/>
          <w:sz w:val="24"/>
          <w:szCs w:val="24"/>
        </w:rPr>
        <w:t>Health Check .NET application pool.</w:t>
      </w:r>
    </w:p>
    <w:p w14:paraId="1FE4A474" w14:textId="137059D2" w:rsidR="00C4542A" w:rsidRPr="00842903" w:rsidRDefault="00EA1991" w:rsidP="0084290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Using browser, navigate to </w:t>
      </w:r>
      <w:hyperlink r:id="rId31" w:history="1">
        <w:r w:rsidRPr="001014F5">
          <w:rPr>
            <w:rStyle w:val="Hyperlink"/>
            <w:rFonts w:asciiTheme="minorHAnsi" w:hAnsiTheme="minorHAnsi" w:cstheme="minorHAnsi"/>
            <w:sz w:val="24"/>
            <w:szCs w:val="24"/>
          </w:rPr>
          <w:t>http://localhost:8088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on each AT node.  Details about the Team Project on the current TFS instance should be displayed.</w:t>
      </w:r>
    </w:p>
    <w:p w14:paraId="5000D131" w14:textId="77777777" w:rsidR="00134F61" w:rsidRPr="00842903" w:rsidRDefault="00134F61" w:rsidP="0084290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t>Restart AT node.  One node at a time.</w:t>
      </w:r>
    </w:p>
    <w:p w14:paraId="725CFBA8" w14:textId="77777777" w:rsidR="00842903" w:rsidRDefault="00842903" w:rsidP="00134F6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6123111" w14:textId="76A747AD" w:rsidR="00842903" w:rsidRPr="007963D4" w:rsidRDefault="00842903" w:rsidP="00842903">
      <w:pPr>
        <w:spacing w:after="0" w:line="240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Finish</w:t>
      </w:r>
    </w:p>
    <w:p w14:paraId="12F13052" w14:textId="77777777" w:rsidR="00842903" w:rsidRPr="007963D4" w:rsidRDefault="00842903" w:rsidP="00842903">
      <w:pPr>
        <w:spacing w:after="0" w:line="240" w:lineRule="auto"/>
        <w:rPr>
          <w:rFonts w:asciiTheme="minorHAnsi" w:hAnsiTheme="minorHAnsi" w:cstheme="minorHAnsi"/>
          <w:b/>
          <w:sz w:val="28"/>
        </w:rPr>
      </w:pPr>
    </w:p>
    <w:p w14:paraId="4A662ED4" w14:textId="77777777" w:rsidR="00134F61" w:rsidRPr="00842903" w:rsidRDefault="00134F61" w:rsidP="00842903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t>Run BPA, capture results.</w:t>
      </w:r>
    </w:p>
    <w:p w14:paraId="2D7FFFF6" w14:textId="228B4920" w:rsidR="00842903" w:rsidRDefault="00842903" w:rsidP="00842903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Check in </w:t>
      </w:r>
      <w:proofErr w:type="spellStart"/>
      <w:r>
        <w:rPr>
          <w:rFonts w:asciiTheme="minorHAnsi" w:hAnsiTheme="minorHAnsi" w:cstheme="minorHAnsi"/>
          <w:sz w:val="24"/>
          <w:szCs w:val="24"/>
        </w:rPr>
        <w:t>ETFS.kbdx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into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etfs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Team Project in TFS.</w:t>
      </w:r>
    </w:p>
    <w:p w14:paraId="30F59C69" w14:textId="574476D6" w:rsidR="00134F61" w:rsidRPr="00842903" w:rsidRDefault="00134F61" w:rsidP="00842903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842903">
        <w:rPr>
          <w:rFonts w:asciiTheme="minorHAnsi" w:hAnsiTheme="minorHAnsi" w:cstheme="minorHAnsi"/>
          <w:sz w:val="24"/>
          <w:szCs w:val="24"/>
        </w:rPr>
        <w:t xml:space="preserve">Replicate </w:t>
      </w:r>
      <w:proofErr w:type="spellStart"/>
      <w:r w:rsidRPr="00842903">
        <w:rPr>
          <w:rFonts w:asciiTheme="minorHAnsi" w:hAnsiTheme="minorHAnsi" w:cstheme="minorHAnsi"/>
          <w:sz w:val="24"/>
          <w:szCs w:val="24"/>
        </w:rPr>
        <w:t>ETFS.kbdx</w:t>
      </w:r>
      <w:proofErr w:type="spellEnd"/>
      <w:r w:rsidRPr="00842903">
        <w:rPr>
          <w:rFonts w:asciiTheme="minorHAnsi" w:hAnsiTheme="minorHAnsi" w:cstheme="minorHAnsi"/>
          <w:sz w:val="24"/>
          <w:szCs w:val="24"/>
        </w:rPr>
        <w:t xml:space="preserve"> into </w:t>
      </w:r>
      <w:r w:rsidRPr="00842903">
        <w:rPr>
          <w:rFonts w:asciiTheme="minorHAnsi" w:hAnsiTheme="minorHAnsi" w:cstheme="minorHAnsi"/>
          <w:sz w:val="24"/>
          <w:szCs w:val="24"/>
        </w:rPr>
        <w:t xml:space="preserve">from </w:t>
      </w:r>
      <w:r w:rsidR="00842903">
        <w:rPr>
          <w:rFonts w:asciiTheme="minorHAnsi" w:hAnsiTheme="minorHAnsi" w:cstheme="minorHAnsi"/>
          <w:sz w:val="24"/>
          <w:szCs w:val="24"/>
        </w:rPr>
        <w:t xml:space="preserve">local </w:t>
      </w:r>
      <w:r w:rsidRPr="00842903">
        <w:rPr>
          <w:rFonts w:asciiTheme="minorHAnsi" w:hAnsiTheme="minorHAnsi" w:cstheme="minorHAnsi"/>
          <w:sz w:val="24"/>
          <w:szCs w:val="24"/>
        </w:rPr>
        <w:t>TFS workspace to usfile01</w:t>
      </w:r>
      <w:r w:rsidR="00842903">
        <w:rPr>
          <w:rFonts w:asciiTheme="minorHAnsi" w:hAnsiTheme="minorHAnsi" w:cstheme="minorHAnsi"/>
          <w:sz w:val="24"/>
          <w:szCs w:val="24"/>
        </w:rPr>
        <w:t>.</w:t>
      </w:r>
    </w:p>
    <w:p w14:paraId="0E3D6A44" w14:textId="68FDC8EB" w:rsidR="00C34370" w:rsidRPr="007963D4" w:rsidRDefault="00C34370" w:rsidP="00134F61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sectPr w:rsidR="00C34370" w:rsidRPr="007963D4" w:rsidSect="005019B6">
      <w:headerReference w:type="default" r:id="rId32"/>
      <w:footerReference w:type="default" r:id="rId33"/>
      <w:headerReference w:type="first" r:id="rId34"/>
      <w:footerReference w:type="first" r:id="rId35"/>
      <w:pgSz w:w="12240" w:h="15840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E5B4E" w14:textId="77777777" w:rsidR="00A03B9A" w:rsidRDefault="00A03B9A" w:rsidP="00876D82">
      <w:pPr>
        <w:spacing w:after="0" w:line="240" w:lineRule="auto"/>
      </w:pPr>
      <w:r>
        <w:separator/>
      </w:r>
    </w:p>
  </w:endnote>
  <w:endnote w:type="continuationSeparator" w:id="0">
    <w:p w14:paraId="7D1B7B0F" w14:textId="77777777" w:rsidR="00A03B9A" w:rsidRDefault="00A03B9A" w:rsidP="00876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3M Circular TT Book">
    <w:panose1 w:val="020B0604020101020102"/>
    <w:charset w:val="00"/>
    <w:family w:val="swiss"/>
    <w:pitch w:val="variable"/>
    <w:sig w:usb0="A00000BF" w:usb1="5000E47B" w:usb2="00000008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D6A4D" w14:textId="77777777" w:rsidR="009F5FCA" w:rsidRPr="00C34370" w:rsidRDefault="00C34370" w:rsidP="00DE0CDE">
    <w:pPr>
      <w:pStyle w:val="Footer"/>
      <w:pBdr>
        <w:top w:val="single" w:sz="4" w:space="1" w:color="auto"/>
      </w:pBdr>
      <w:tabs>
        <w:tab w:val="left" w:pos="3240"/>
      </w:tabs>
      <w:rPr>
        <w:rFonts w:ascii="3M Circular TT Book" w:hAnsi="3M Circular TT Book" w:cs="3M Circular TT Book"/>
        <w:color w:val="A6A6A6" w:themeColor="background1" w:themeShade="A6"/>
        <w:sz w:val="18"/>
        <w:szCs w:val="18"/>
      </w:rPr>
    </w:pPr>
    <w:r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t>@3M 2015</w:t>
    </w:r>
    <w:r w:rsidR="009F5FCA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t>.  All Rights Reserved.  3M Confidential</w:t>
    </w:r>
    <w:r w:rsidR="009F5FCA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tab/>
    </w:r>
    <w:r w:rsidR="00301511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tab/>
    </w:r>
    <w:r w:rsidR="009F5FCA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t xml:space="preserve">Page </w:t>
    </w:r>
    <w:r w:rsidR="003E6416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fldChar w:fldCharType="begin"/>
    </w:r>
    <w:r w:rsidR="009F5FCA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instrText xml:space="preserve"> PAGE   \* MERGEFORMAT </w:instrText>
    </w:r>
    <w:r w:rsidR="003E6416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fldChar w:fldCharType="separate"/>
    </w:r>
    <w:r w:rsidR="00F05A4B">
      <w:rPr>
        <w:rFonts w:ascii="3M Circular TT Book" w:hAnsi="3M Circular TT Book" w:cs="3M Circular TT Book"/>
        <w:noProof/>
        <w:color w:val="A6A6A6" w:themeColor="background1" w:themeShade="A6"/>
        <w:sz w:val="18"/>
        <w:szCs w:val="18"/>
      </w:rPr>
      <w:t>12</w:t>
    </w:r>
    <w:r w:rsidR="003E6416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fldChar w:fldCharType="end"/>
    </w:r>
    <w:r w:rsidR="009F5FCA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t xml:space="preserve"> of </w:t>
    </w:r>
    <w:r w:rsidR="003E6416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fldChar w:fldCharType="begin"/>
    </w:r>
    <w:r w:rsidR="009F5FCA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instrText xml:space="preserve"> NUMPAGES  \# "0"  \* MERGEFORMAT </w:instrText>
    </w:r>
    <w:r w:rsidR="003E6416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fldChar w:fldCharType="separate"/>
    </w:r>
    <w:r w:rsidR="00F05A4B">
      <w:rPr>
        <w:rFonts w:ascii="3M Circular TT Book" w:hAnsi="3M Circular TT Book" w:cs="3M Circular TT Book"/>
        <w:noProof/>
        <w:color w:val="A6A6A6" w:themeColor="background1" w:themeShade="A6"/>
        <w:sz w:val="18"/>
        <w:szCs w:val="18"/>
      </w:rPr>
      <w:t>12</w:t>
    </w:r>
    <w:r w:rsidR="003E6416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fldChar w:fldCharType="end"/>
    </w:r>
  </w:p>
  <w:p w14:paraId="0E3D6A4E" w14:textId="77777777" w:rsidR="009F5FCA" w:rsidRPr="00FA6783" w:rsidRDefault="009F5FCA" w:rsidP="00FA6783">
    <w:pPr>
      <w:pStyle w:val="Footer"/>
      <w:rPr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D6A50" w14:textId="77777777" w:rsidR="009F5FCA" w:rsidRPr="00C34370" w:rsidRDefault="00C34370" w:rsidP="00DE0CDE">
    <w:pPr>
      <w:pStyle w:val="Footer"/>
      <w:pBdr>
        <w:top w:val="single" w:sz="4" w:space="1" w:color="auto"/>
      </w:pBdr>
      <w:tabs>
        <w:tab w:val="left" w:pos="3240"/>
      </w:tabs>
      <w:rPr>
        <w:rFonts w:ascii="3M Circular TT Book" w:hAnsi="3M Circular TT Book" w:cs="3M Circular TT Book"/>
        <w:color w:val="A6A6A6" w:themeColor="background1" w:themeShade="A6"/>
        <w:sz w:val="18"/>
        <w:szCs w:val="18"/>
      </w:rPr>
    </w:pPr>
    <w:r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t>@3M 2015</w:t>
    </w:r>
    <w:r w:rsidR="009F5FCA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t>.  All Rights Reserved.  3M Confidential</w:t>
    </w:r>
    <w:r w:rsidR="009F5FCA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tab/>
    </w:r>
    <w:r w:rsidR="00301511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tab/>
    </w:r>
    <w:r w:rsidR="009F5FCA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t xml:space="preserve">Page </w:t>
    </w:r>
    <w:r w:rsidR="003E6416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fldChar w:fldCharType="begin"/>
    </w:r>
    <w:r w:rsidR="009F5FCA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instrText xml:space="preserve"> PAGE   \* MERGEFORMAT </w:instrText>
    </w:r>
    <w:r w:rsidR="003E6416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fldChar w:fldCharType="separate"/>
    </w:r>
    <w:r w:rsidR="00A87F2F">
      <w:rPr>
        <w:rFonts w:ascii="3M Circular TT Book" w:hAnsi="3M Circular TT Book" w:cs="3M Circular TT Book"/>
        <w:noProof/>
        <w:color w:val="A6A6A6" w:themeColor="background1" w:themeShade="A6"/>
        <w:sz w:val="18"/>
        <w:szCs w:val="18"/>
      </w:rPr>
      <w:t>1</w:t>
    </w:r>
    <w:r w:rsidR="003E6416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fldChar w:fldCharType="end"/>
    </w:r>
    <w:r w:rsidR="009F5FCA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t xml:space="preserve"> of </w:t>
    </w:r>
    <w:r w:rsidR="003E6416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fldChar w:fldCharType="begin"/>
    </w:r>
    <w:r w:rsidR="009F5FCA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instrText xml:space="preserve"> NUMPAGES  \# "0"  \* MERGEFORMAT </w:instrText>
    </w:r>
    <w:r w:rsidR="003E6416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fldChar w:fldCharType="separate"/>
    </w:r>
    <w:r w:rsidR="00A87F2F">
      <w:rPr>
        <w:rFonts w:ascii="3M Circular TT Book" w:hAnsi="3M Circular TT Book" w:cs="3M Circular TT Book"/>
        <w:noProof/>
        <w:color w:val="A6A6A6" w:themeColor="background1" w:themeShade="A6"/>
        <w:sz w:val="18"/>
        <w:szCs w:val="18"/>
      </w:rPr>
      <w:t>12</w:t>
    </w:r>
    <w:r w:rsidR="003E6416" w:rsidRPr="00C34370">
      <w:rPr>
        <w:rFonts w:ascii="3M Circular TT Book" w:hAnsi="3M Circular TT Book" w:cs="3M Circular TT Book"/>
        <w:color w:val="A6A6A6" w:themeColor="background1" w:themeShade="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D78DE" w14:textId="77777777" w:rsidR="00A03B9A" w:rsidRDefault="00A03B9A" w:rsidP="00876D82">
      <w:pPr>
        <w:spacing w:after="0" w:line="240" w:lineRule="auto"/>
      </w:pPr>
      <w:r>
        <w:separator/>
      </w:r>
    </w:p>
  </w:footnote>
  <w:footnote w:type="continuationSeparator" w:id="0">
    <w:p w14:paraId="7A2A3C35" w14:textId="77777777" w:rsidR="00A03B9A" w:rsidRDefault="00A03B9A" w:rsidP="00876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D6A4C" w14:textId="39E725EC" w:rsidR="009F5FCA" w:rsidRPr="00C34370" w:rsidRDefault="002B1032" w:rsidP="005019B6">
    <w:pPr>
      <w:pStyle w:val="Header"/>
      <w:pBdr>
        <w:bottom w:val="single" w:sz="4" w:space="1" w:color="auto"/>
      </w:pBdr>
      <w:rPr>
        <w:rFonts w:ascii="3M Circular TT Book" w:hAnsi="3M Circular TT Book" w:cs="3M Circular TT Book"/>
        <w:color w:val="A6A6A6" w:themeColor="background1" w:themeShade="A6"/>
        <w:sz w:val="20"/>
        <w:szCs w:val="20"/>
      </w:rPr>
    </w:pPr>
    <w:r w:rsidRPr="00C34370">
      <w:rPr>
        <w:rFonts w:ascii="3M Circular TT Book" w:hAnsi="3M Circular TT Book" w:cs="3M Circular TT Book"/>
        <w:color w:val="A6A6A6" w:themeColor="background1" w:themeShade="A6"/>
        <w:sz w:val="20"/>
        <w:szCs w:val="20"/>
      </w:rPr>
      <w:t>BT &amp; IT</w:t>
    </w:r>
    <w:r w:rsidR="009F5FCA" w:rsidRPr="00C34370">
      <w:rPr>
        <w:rFonts w:ascii="3M Circular TT Book" w:hAnsi="3M Circular TT Book" w:cs="3M Circular TT Book"/>
        <w:color w:val="A6A6A6" w:themeColor="background1" w:themeShade="A6"/>
        <w:sz w:val="20"/>
        <w:szCs w:val="20"/>
      </w:rPr>
      <w:tab/>
    </w:r>
    <w:r w:rsidR="009F5FCA" w:rsidRPr="00C34370">
      <w:rPr>
        <w:rFonts w:ascii="3M Circular TT Book" w:hAnsi="3M Circular TT Book" w:cs="3M Circular TT Book"/>
        <w:color w:val="A6A6A6" w:themeColor="background1" w:themeShade="A6"/>
        <w:sz w:val="20"/>
        <w:szCs w:val="20"/>
      </w:rPr>
      <w:tab/>
    </w:r>
    <w:r w:rsidR="00A87F2F" w:rsidRPr="00A87F2F">
      <w:rPr>
        <w:rFonts w:ascii="3M Circular TT Book" w:hAnsi="3M Circular TT Book" w:cs="3M Circular TT Book"/>
        <w:color w:val="A6A6A6" w:themeColor="background1" w:themeShade="A6"/>
        <w:sz w:val="20"/>
        <w:szCs w:val="20"/>
      </w:rPr>
      <w:t>ETFS:  NPSA Password Reset Procedure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D6A4F" w14:textId="77777777" w:rsidR="009F5FCA" w:rsidRDefault="00C34370" w:rsidP="00C34370">
    <w:pPr>
      <w:pStyle w:val="Header"/>
      <w:jc w:val="center"/>
    </w:pPr>
    <w:r>
      <w:rPr>
        <w:noProof/>
      </w:rPr>
      <w:drawing>
        <wp:inline distT="0" distB="0" distL="0" distR="0" wp14:anchorId="0E3D6A51" wp14:editId="0E3D6A52">
          <wp:extent cx="5715000" cy="4572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7744-IT_Trifecta_BT_IT_Email_Banners_600x48_96ppi (5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560FC"/>
    <w:multiLevelType w:val="hybridMultilevel"/>
    <w:tmpl w:val="DC900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22A8"/>
    <w:multiLevelType w:val="hybridMultilevel"/>
    <w:tmpl w:val="8B081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22B3E"/>
    <w:multiLevelType w:val="hybridMultilevel"/>
    <w:tmpl w:val="322E8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F3D2A"/>
    <w:multiLevelType w:val="hybridMultilevel"/>
    <w:tmpl w:val="7026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705E2"/>
    <w:multiLevelType w:val="hybridMultilevel"/>
    <w:tmpl w:val="876A7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29"/>
    <w:rsid w:val="000D00DB"/>
    <w:rsid w:val="000F43EA"/>
    <w:rsid w:val="001006D3"/>
    <w:rsid w:val="00122AF2"/>
    <w:rsid w:val="00134F61"/>
    <w:rsid w:val="0018651B"/>
    <w:rsid w:val="001B6155"/>
    <w:rsid w:val="002032CE"/>
    <w:rsid w:val="002175C3"/>
    <w:rsid w:val="00222FD2"/>
    <w:rsid w:val="0022448D"/>
    <w:rsid w:val="00224822"/>
    <w:rsid w:val="00241D01"/>
    <w:rsid w:val="002B1032"/>
    <w:rsid w:val="002B15AA"/>
    <w:rsid w:val="002B7AB8"/>
    <w:rsid w:val="002E0D44"/>
    <w:rsid w:val="00301511"/>
    <w:rsid w:val="00332EDC"/>
    <w:rsid w:val="003C64E7"/>
    <w:rsid w:val="003E6416"/>
    <w:rsid w:val="00421845"/>
    <w:rsid w:val="00440782"/>
    <w:rsid w:val="004A1E58"/>
    <w:rsid w:val="004A41AC"/>
    <w:rsid w:val="004F503D"/>
    <w:rsid w:val="005019B6"/>
    <w:rsid w:val="00524D7D"/>
    <w:rsid w:val="005279FF"/>
    <w:rsid w:val="0054262D"/>
    <w:rsid w:val="005E3DB4"/>
    <w:rsid w:val="005E6814"/>
    <w:rsid w:val="00680BF2"/>
    <w:rsid w:val="006A1587"/>
    <w:rsid w:val="006A6ACD"/>
    <w:rsid w:val="006A6BAE"/>
    <w:rsid w:val="0070469E"/>
    <w:rsid w:val="007103EC"/>
    <w:rsid w:val="00734B32"/>
    <w:rsid w:val="00760047"/>
    <w:rsid w:val="007607BE"/>
    <w:rsid w:val="00783FD1"/>
    <w:rsid w:val="007963D4"/>
    <w:rsid w:val="007A56CA"/>
    <w:rsid w:val="007A740E"/>
    <w:rsid w:val="007D2AA6"/>
    <w:rsid w:val="00810C2A"/>
    <w:rsid w:val="00835A9D"/>
    <w:rsid w:val="00842903"/>
    <w:rsid w:val="008463EF"/>
    <w:rsid w:val="00870F57"/>
    <w:rsid w:val="00876D82"/>
    <w:rsid w:val="008F5AFE"/>
    <w:rsid w:val="009532E0"/>
    <w:rsid w:val="00960545"/>
    <w:rsid w:val="009F5FCA"/>
    <w:rsid w:val="00A03B9A"/>
    <w:rsid w:val="00A24373"/>
    <w:rsid w:val="00A73A74"/>
    <w:rsid w:val="00A76BD3"/>
    <w:rsid w:val="00A87F2F"/>
    <w:rsid w:val="00A91185"/>
    <w:rsid w:val="00AB3920"/>
    <w:rsid w:val="00B13C5D"/>
    <w:rsid w:val="00B50FC8"/>
    <w:rsid w:val="00B95C7B"/>
    <w:rsid w:val="00BA0FB4"/>
    <w:rsid w:val="00BB7CB8"/>
    <w:rsid w:val="00C31BD8"/>
    <w:rsid w:val="00C34370"/>
    <w:rsid w:val="00C35029"/>
    <w:rsid w:val="00C36F77"/>
    <w:rsid w:val="00C42253"/>
    <w:rsid w:val="00C4542A"/>
    <w:rsid w:val="00C50984"/>
    <w:rsid w:val="00C6633D"/>
    <w:rsid w:val="00C701F1"/>
    <w:rsid w:val="00C94E5D"/>
    <w:rsid w:val="00CA56E6"/>
    <w:rsid w:val="00CB1DFB"/>
    <w:rsid w:val="00D34589"/>
    <w:rsid w:val="00D444D1"/>
    <w:rsid w:val="00D84CC5"/>
    <w:rsid w:val="00DD2CBA"/>
    <w:rsid w:val="00DE0CDE"/>
    <w:rsid w:val="00E20AC7"/>
    <w:rsid w:val="00EA1991"/>
    <w:rsid w:val="00ED7D93"/>
    <w:rsid w:val="00F0215C"/>
    <w:rsid w:val="00F05A4B"/>
    <w:rsid w:val="00F10A47"/>
    <w:rsid w:val="00F164B9"/>
    <w:rsid w:val="00F51EAF"/>
    <w:rsid w:val="00F734E4"/>
    <w:rsid w:val="00F91E86"/>
    <w:rsid w:val="00FA3B18"/>
    <w:rsid w:val="00FA6783"/>
    <w:rsid w:val="00FC4D79"/>
    <w:rsid w:val="00F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D6A3B"/>
  <w15:docId w15:val="{06B9A288-9977-474C-B8A7-075E8A22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BA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D82"/>
  </w:style>
  <w:style w:type="paragraph" w:styleId="Footer">
    <w:name w:val="footer"/>
    <w:basedOn w:val="Normal"/>
    <w:link w:val="FooterChar"/>
    <w:uiPriority w:val="99"/>
    <w:unhideWhenUsed/>
    <w:rsid w:val="00876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D82"/>
  </w:style>
  <w:style w:type="paragraph" w:styleId="BalloonText">
    <w:name w:val="Balloon Text"/>
    <w:basedOn w:val="Normal"/>
    <w:link w:val="BalloonTextChar"/>
    <w:uiPriority w:val="99"/>
    <w:semiHidden/>
    <w:unhideWhenUsed/>
    <w:rsid w:val="0087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9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9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20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sfile01\Service_Business\Projects\Misc" TargetMode="External"/><Relationship Id="rId13" Type="http://schemas.openxmlformats.org/officeDocument/2006/relationships/hyperlink" Target="http://gs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localhost:80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3JJ6ZZ\Desktop\All%20Communications\Resources\Documents\BT%20Word%20Template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3M Circular TT Book"/>
        <a:ea typeface=""/>
        <a:cs typeface=""/>
      </a:majorFont>
      <a:minorFont>
        <a:latin typeface="3M Circular TT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9AD3E-0EAD-422D-9C50-EEFB4281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BT Word Template_2013.dotx</Template>
  <TotalTime>1395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3M</Company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A3JJ6ZZ</dc:creator>
  <cp:lastModifiedBy>Andrew Taylor</cp:lastModifiedBy>
  <cp:revision>9</cp:revision>
  <dcterms:created xsi:type="dcterms:W3CDTF">2015-08-27T00:22:00Z</dcterms:created>
  <dcterms:modified xsi:type="dcterms:W3CDTF">2015-08-27T23:37:00Z</dcterms:modified>
</cp:coreProperties>
</file>