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587" w:rsidRDefault="003378E3" w:rsidP="00865A18">
      <w:pPr>
        <w:pStyle w:val="Heading1"/>
      </w:pPr>
      <w:r w:rsidRPr="00C60DB9">
        <w:t>ETFS</w:t>
      </w:r>
      <w:r>
        <w:t xml:space="preserve"> Governance</w:t>
      </w:r>
    </w:p>
    <w:p w:rsidR="003378E3" w:rsidRDefault="003378E3" w:rsidP="00865A18"/>
    <w:p w:rsidR="003378E3" w:rsidRDefault="003378E3" w:rsidP="00865A18">
      <w:pPr>
        <w:pStyle w:val="Heading1"/>
      </w:pPr>
      <w:r>
        <w:t>Introduction</w:t>
      </w:r>
    </w:p>
    <w:p w:rsidR="003378E3" w:rsidRDefault="00676E42" w:rsidP="00865A18">
      <w:r>
        <w:t xml:space="preserve">With a large number of current and potential customers, ETFS requires a defined process for maintaining current infrastructure, upgrading the system (operating system, Team Foundation Server, and dependencies).  This process needs to be open and communicated to all known and potential stakeholders of the </w:t>
      </w:r>
      <w:r w:rsidR="00C02BEB">
        <w:t>system</w:t>
      </w:r>
      <w:r>
        <w:t>.</w:t>
      </w:r>
    </w:p>
    <w:p w:rsidR="00C60DB9" w:rsidRDefault="00C60DB9" w:rsidP="00865A18">
      <w:pPr>
        <w:pStyle w:val="Heading1"/>
      </w:pPr>
      <w:r>
        <w:t>Vision</w:t>
      </w:r>
    </w:p>
    <w:p w:rsidR="00C60DB9" w:rsidRDefault="00C60DB9" w:rsidP="00865A18">
      <w:r>
        <w:t xml:space="preserve">Define a </w:t>
      </w:r>
      <w:r w:rsidR="00A55DA7">
        <w:t xml:space="preserve">process that establishes open communications to enable a timely decision making process for modifications to the ETFS service. </w:t>
      </w:r>
    </w:p>
    <w:p w:rsidR="00A55DA7" w:rsidRDefault="00A55DA7" w:rsidP="00865A18"/>
    <w:p w:rsidR="00676E42" w:rsidRDefault="00676E42" w:rsidP="00865A18">
      <w:pPr>
        <w:pStyle w:val="Heading1"/>
      </w:pPr>
      <w:r>
        <w:t>Stakeholders</w:t>
      </w:r>
    </w:p>
    <w:p w:rsidR="001B2779" w:rsidRPr="001B2779" w:rsidRDefault="001B2779" w:rsidP="00865A18">
      <w:r>
        <w:t xml:space="preserve">Below is a list of 3M divisions/groups that have a stake in ETFS.  Division representatives have to be identified for each.  </w:t>
      </w:r>
    </w:p>
    <w:p w:rsidR="00676E42" w:rsidRDefault="00676E42" w:rsidP="00865A18">
      <w:pPr>
        <w:pStyle w:val="Heading2"/>
      </w:pPr>
      <w:r>
        <w:t>Current</w:t>
      </w:r>
    </w:p>
    <w:p w:rsidR="00676E42" w:rsidRDefault="00676E42" w:rsidP="00865A18">
      <w:r>
        <w:t>HIS</w:t>
      </w:r>
    </w:p>
    <w:p w:rsidR="00676E42" w:rsidRDefault="00676E42" w:rsidP="00865A18">
      <w:r>
        <w:t>SEMS</w:t>
      </w:r>
    </w:p>
    <w:p w:rsidR="00676E42" w:rsidRDefault="00676E42" w:rsidP="00865A18">
      <w:r>
        <w:t>IT</w:t>
      </w:r>
    </w:p>
    <w:p w:rsidR="00676E42" w:rsidRDefault="00676E42" w:rsidP="00865A18">
      <w:r>
        <w:t>TSSD</w:t>
      </w:r>
      <w:r w:rsidR="004501AD">
        <w:t xml:space="preserve"> (SSD)</w:t>
      </w:r>
      <w:bookmarkStart w:id="0" w:name="_GoBack"/>
      <w:bookmarkEnd w:id="0"/>
    </w:p>
    <w:p w:rsidR="00676E42" w:rsidRDefault="00676E42" w:rsidP="00865A18">
      <w:pPr>
        <w:pStyle w:val="Heading2"/>
      </w:pPr>
      <w:r>
        <w:t>Potential</w:t>
      </w:r>
    </w:p>
    <w:p w:rsidR="00676E42" w:rsidRDefault="00676E42" w:rsidP="00865A18">
      <w:r>
        <w:t>IPD</w:t>
      </w:r>
    </w:p>
    <w:p w:rsidR="00676E42" w:rsidRDefault="00676E42" w:rsidP="00865A18">
      <w:r>
        <w:t>DOC</w:t>
      </w:r>
    </w:p>
    <w:p w:rsidR="00676E42" w:rsidRDefault="00676E42" w:rsidP="00865A18">
      <w:r>
        <w:t>Corporate Security</w:t>
      </w:r>
    </w:p>
    <w:p w:rsidR="00676E42" w:rsidRDefault="00676E42" w:rsidP="00865A18">
      <w:r>
        <w:t>SEMS</w:t>
      </w:r>
    </w:p>
    <w:p w:rsidR="00676E42" w:rsidRDefault="00676E42" w:rsidP="00865A18">
      <w:r>
        <w:t>IT</w:t>
      </w:r>
    </w:p>
    <w:p w:rsidR="00676E42" w:rsidRPr="00676E42" w:rsidRDefault="00676E42" w:rsidP="00865A18">
      <w:r>
        <w:t>TSSD (MVSS)</w:t>
      </w:r>
    </w:p>
    <w:p w:rsidR="00676E42" w:rsidRPr="00676E42" w:rsidRDefault="00676E42" w:rsidP="00865A18"/>
    <w:p w:rsidR="00A55DA7" w:rsidRDefault="00A55DA7" w:rsidP="00865A18">
      <w:pPr>
        <w:pStyle w:val="Heading1"/>
      </w:pPr>
      <w:r>
        <w:t>Governance</w:t>
      </w:r>
    </w:p>
    <w:p w:rsidR="00A55DA7" w:rsidRPr="00865A18" w:rsidRDefault="00A55DA7" w:rsidP="00865A18">
      <w:r w:rsidRPr="00865A18">
        <w:t>A Governance process is required for portions of ETFS that have possible conflicting implementation details.</w:t>
      </w:r>
      <w:r w:rsidR="00865A18" w:rsidRPr="00865A18">
        <w:t xml:space="preserve">  The major areas of functionality are below with details added.</w:t>
      </w:r>
    </w:p>
    <w:p w:rsidR="00A55DA7" w:rsidRPr="00676E42" w:rsidRDefault="00676E42" w:rsidP="00865A18">
      <w:pPr>
        <w:pStyle w:val="Heading2"/>
      </w:pPr>
      <w:r>
        <w:lastRenderedPageBreak/>
        <w:t xml:space="preserve">Enterprise </w:t>
      </w:r>
      <w:r w:rsidR="00A55DA7" w:rsidRPr="00676E42">
        <w:t>Build Farm</w:t>
      </w:r>
    </w:p>
    <w:p w:rsidR="00676E42" w:rsidRDefault="00676E42" w:rsidP="00865A18">
      <w:pPr>
        <w:pStyle w:val="Heading3"/>
      </w:pPr>
      <w:r w:rsidRPr="00676E42">
        <w:t>Enterprise Build Machines</w:t>
      </w:r>
    </w:p>
    <w:p w:rsidR="00676E42" w:rsidRDefault="00676E42" w:rsidP="00865A18">
      <w:r>
        <w:t>The ETFS Team will maintain a small number of impactful build machines that host the latest version of .Net</w:t>
      </w:r>
      <w:r w:rsidR="001B2779">
        <w:t xml:space="preserve"> along with a release of the TFS Build service that is compatible with ETFS.</w:t>
      </w:r>
      <w:r>
        <w:t xml:space="preserve"> </w:t>
      </w:r>
    </w:p>
    <w:p w:rsidR="00865A18" w:rsidRPr="00676E42" w:rsidRDefault="00865A18" w:rsidP="00865A18">
      <w:r>
        <w:t>The Enterprise Build Machines will be Virtual Machines in the 3M Data Centers, and will be managed by the ETFS Team.</w:t>
      </w:r>
    </w:p>
    <w:p w:rsidR="00676E42" w:rsidRDefault="00676E42" w:rsidP="00865A18">
      <w:pPr>
        <w:pStyle w:val="Heading3"/>
      </w:pPr>
      <w:r w:rsidRPr="00676E42">
        <w:t>Adjunct Machines</w:t>
      </w:r>
    </w:p>
    <w:p w:rsidR="001B2779" w:rsidRDefault="001B2779" w:rsidP="00865A18">
      <w:r>
        <w:t>Users that require 3</w:t>
      </w:r>
      <w:r w:rsidRPr="001B2779">
        <w:rPr>
          <w:vertAlign w:val="superscript"/>
        </w:rPr>
        <w:t>rd</w:t>
      </w:r>
      <w:r>
        <w:t xml:space="preserve"> party components or customized build processes can make a request to have a build machine added to ETFS for their use.  The users (team) are responsible for obtaining the machine (VM or Physical), installation of the OS, maintenance of the OS, and adding the appropriate ETFS group (US-ETFS-Admin) to the local administrators.  When a request is received, the machine is added to ETFS as per the ETFS SOP.  </w:t>
      </w:r>
    </w:p>
    <w:p w:rsidR="001B2779" w:rsidRPr="001B2779" w:rsidRDefault="001B2779" w:rsidP="00865A18">
      <w:r>
        <w:t>Additionally, Proxy machines are obtained, installed, and maintained using the same method for remote locations.</w:t>
      </w:r>
    </w:p>
    <w:p w:rsidR="00A55DA7" w:rsidRDefault="00A55DA7" w:rsidP="00865A18">
      <w:pPr>
        <w:pStyle w:val="Heading2"/>
      </w:pPr>
      <w:r w:rsidRPr="00676E42">
        <w:t>Reporting</w:t>
      </w:r>
    </w:p>
    <w:p w:rsidR="001B2779" w:rsidRDefault="00865A18" w:rsidP="00865A18">
      <w:pPr>
        <w:pStyle w:val="Heading3"/>
      </w:pPr>
      <w:r>
        <w:t>Team Project Reporting</w:t>
      </w:r>
    </w:p>
    <w:p w:rsidR="00865A18" w:rsidRDefault="00865A18" w:rsidP="00865A18">
      <w:r>
        <w:t>Reports are provided as per the Microsoft Scrum Process Template.  These out-of-the-box reports include reports for builds, tests, and project progress (burn down).</w:t>
      </w:r>
    </w:p>
    <w:p w:rsidR="00865A18" w:rsidRDefault="00865A18" w:rsidP="00865A18">
      <w:pPr>
        <w:pStyle w:val="Heading3"/>
      </w:pPr>
      <w:r>
        <w:t>Roll-up Reports</w:t>
      </w:r>
    </w:p>
    <w:p w:rsidR="00865A18" w:rsidRDefault="00865A18" w:rsidP="00865A18">
      <w:r>
        <w:t>A Roll-up Report refers to a report that can display data across multiple team projects.  One possible example would be to show CI builds across all team projects for a particular division, or possibly team project progress for each team.</w:t>
      </w:r>
    </w:p>
    <w:p w:rsidR="00865A18" w:rsidRPr="00865A18" w:rsidRDefault="00865A18" w:rsidP="00865A18">
      <w:r>
        <w:t xml:space="preserve">Roll-up Reports need to be defined for each specific use.  </w:t>
      </w:r>
    </w:p>
    <w:p w:rsidR="00A55DA7" w:rsidRPr="00676E42" w:rsidRDefault="00A55DA7" w:rsidP="00865A18">
      <w:pPr>
        <w:pStyle w:val="Heading2"/>
      </w:pPr>
      <w:r w:rsidRPr="00676E42">
        <w:t>Process Template</w:t>
      </w:r>
    </w:p>
    <w:p w:rsidR="006F7117" w:rsidRDefault="00865A18" w:rsidP="00C02BEB">
      <w:pPr>
        <w:pStyle w:val="Heading3"/>
      </w:pPr>
      <w:r>
        <w:t>ETFS Supported</w:t>
      </w:r>
    </w:p>
    <w:p w:rsidR="00A4334C" w:rsidRDefault="00A4334C" w:rsidP="00865A18">
      <w:r>
        <w:t>The supported Process Template</w:t>
      </w:r>
      <w:r w:rsidR="00C02BEB">
        <w:t xml:space="preserve"> is a modified version of the Microsoft Scrum Process Template.  The changes are outlined in the TFS Architecture document.</w:t>
      </w:r>
    </w:p>
    <w:p w:rsidR="00865A18" w:rsidRDefault="00865A18" w:rsidP="00C02BEB">
      <w:pPr>
        <w:pStyle w:val="Heading3"/>
      </w:pPr>
      <w:r>
        <w:t>Customizations</w:t>
      </w:r>
    </w:p>
    <w:p w:rsidR="00865A18" w:rsidRDefault="00865A18" w:rsidP="00865A18"/>
    <w:p w:rsidR="00A55DA7" w:rsidRDefault="006F7117" w:rsidP="00865A18">
      <w:pPr>
        <w:pStyle w:val="Heading1"/>
      </w:pPr>
      <w:r>
        <w:lastRenderedPageBreak/>
        <w:t>Governance Framework</w:t>
      </w:r>
    </w:p>
    <w:p w:rsidR="006F7117" w:rsidRDefault="006F7117" w:rsidP="00865A18">
      <w:r>
        <w:rPr>
          <w:noProof/>
        </w:rPr>
        <w:drawing>
          <wp:inline distT="0" distB="0" distL="0" distR="0">
            <wp:extent cx="2447925" cy="1495425"/>
            <wp:effectExtent l="0" t="0" r="9525" b="476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sectPr w:rsidR="006F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0F0"/>
    <w:rsid w:val="000A04B2"/>
    <w:rsid w:val="001B2779"/>
    <w:rsid w:val="001E20F0"/>
    <w:rsid w:val="003378E3"/>
    <w:rsid w:val="004501AD"/>
    <w:rsid w:val="00676E42"/>
    <w:rsid w:val="006F7117"/>
    <w:rsid w:val="00826587"/>
    <w:rsid w:val="00865A18"/>
    <w:rsid w:val="00A4334C"/>
    <w:rsid w:val="00A55DA7"/>
    <w:rsid w:val="00C02BEB"/>
    <w:rsid w:val="00C6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38D3B-FA84-484B-9DA5-FC1B2FAB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A18"/>
    <w:rPr>
      <w:rFonts w:ascii="Segoe UI" w:hAnsi="Segoe UI" w:cs="Segoe UI"/>
    </w:rPr>
  </w:style>
  <w:style w:type="paragraph" w:styleId="Heading1">
    <w:name w:val="heading 1"/>
    <w:basedOn w:val="Normal"/>
    <w:next w:val="Normal"/>
    <w:link w:val="Heading1Char"/>
    <w:uiPriority w:val="9"/>
    <w:qFormat/>
    <w:rsid w:val="00C60DB9"/>
    <w:pPr>
      <w:keepNext/>
      <w:keepLines/>
      <w:spacing w:before="240" w:after="0"/>
      <w:outlineLvl w:val="0"/>
    </w:pPr>
    <w:rPr>
      <w:rFonts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676E42"/>
    <w:pPr>
      <w:keepNext/>
      <w:keepLines/>
      <w:spacing w:before="200" w:after="0" w:line="276" w:lineRule="auto"/>
      <w:outlineLvl w:val="1"/>
    </w:pPr>
    <w:rPr>
      <w:rFonts w:eastAsiaTheme="majorEastAsia"/>
      <w:bCs/>
      <w:color w:val="5B9BD5" w:themeColor="accent1"/>
      <w:sz w:val="26"/>
      <w:szCs w:val="26"/>
    </w:rPr>
  </w:style>
  <w:style w:type="paragraph" w:styleId="Heading3">
    <w:name w:val="heading 3"/>
    <w:basedOn w:val="Normal"/>
    <w:next w:val="Normal"/>
    <w:link w:val="Heading3Char"/>
    <w:uiPriority w:val="9"/>
    <w:unhideWhenUsed/>
    <w:qFormat/>
    <w:rsid w:val="00676E42"/>
    <w:pPr>
      <w:keepNext/>
      <w:keepLines/>
      <w:spacing w:before="200" w:after="0" w:line="276" w:lineRule="auto"/>
      <w:outlineLvl w:val="2"/>
    </w:pPr>
    <w:rPr>
      <w:rFonts w:eastAsiaTheme="majorEastAsia"/>
      <w:bCs/>
      <w:color w:val="5B9BD5" w:themeColor="accent1"/>
      <w:sz w:val="22"/>
      <w:szCs w:val="22"/>
    </w:rPr>
  </w:style>
  <w:style w:type="paragraph" w:styleId="Heading4">
    <w:name w:val="heading 4"/>
    <w:basedOn w:val="Normal"/>
    <w:next w:val="Normal"/>
    <w:link w:val="Heading4Char"/>
    <w:uiPriority w:val="9"/>
    <w:unhideWhenUsed/>
    <w:qFormat/>
    <w:rsid w:val="00676E42"/>
    <w:pPr>
      <w:keepNext/>
      <w:keepLines/>
      <w:spacing w:before="200" w:after="0" w:line="276" w:lineRule="auto"/>
      <w:outlineLvl w:val="3"/>
    </w:pPr>
    <w:rPr>
      <w:rFonts w:asciiTheme="majorHAnsi" w:eastAsiaTheme="majorEastAsia" w:hAnsiTheme="majorHAnsi" w:cstheme="majorBidi"/>
      <w:b/>
      <w:bCs/>
      <w:i/>
      <w:iCs/>
      <w:color w:val="5B9BD5" w:themeColor="accent1"/>
      <w:sz w:val="22"/>
      <w:szCs w:val="22"/>
    </w:rPr>
  </w:style>
  <w:style w:type="paragraph" w:styleId="Heading5">
    <w:name w:val="heading 5"/>
    <w:basedOn w:val="Normal"/>
    <w:next w:val="Normal"/>
    <w:link w:val="Heading5Char"/>
    <w:uiPriority w:val="9"/>
    <w:unhideWhenUsed/>
    <w:qFormat/>
    <w:rsid w:val="00676E42"/>
    <w:pPr>
      <w:keepNext/>
      <w:keepLines/>
      <w:spacing w:before="200" w:after="0" w:line="276" w:lineRule="auto"/>
      <w:outlineLvl w:val="4"/>
    </w:pPr>
    <w:rPr>
      <w:rFonts w:asciiTheme="majorHAnsi" w:eastAsiaTheme="majorEastAsia" w:hAnsiTheme="majorHAnsi" w:cstheme="majorBidi"/>
      <w:color w:val="1F4D78"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DB9"/>
    <w:rPr>
      <w:rFonts w:ascii="Segoe UI" w:eastAsiaTheme="majorEastAsia" w:hAnsi="Segoe UI" w:cs="Segoe UI"/>
      <w:color w:val="2E74B5" w:themeColor="accent1" w:themeShade="BF"/>
      <w:sz w:val="32"/>
      <w:szCs w:val="32"/>
    </w:rPr>
  </w:style>
  <w:style w:type="character" w:styleId="PlaceholderText">
    <w:name w:val="Placeholder Text"/>
    <w:basedOn w:val="DefaultParagraphFont"/>
    <w:uiPriority w:val="99"/>
    <w:semiHidden/>
    <w:rsid w:val="00676E42"/>
    <w:rPr>
      <w:color w:val="808080"/>
    </w:rPr>
  </w:style>
  <w:style w:type="table" w:styleId="TableGrid">
    <w:name w:val="Table Grid"/>
    <w:basedOn w:val="TableNormal"/>
    <w:uiPriority w:val="59"/>
    <w:rsid w:val="00676E4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676E42"/>
    <w:pPr>
      <w:spacing w:after="0" w:line="240" w:lineRule="auto"/>
    </w:pPr>
    <w:rPr>
      <w:b/>
      <w:color w:val="767171" w:themeColor="background2" w:themeShade="80"/>
      <w:sz w:val="28"/>
      <w:lang w:val="en-GB"/>
    </w:rPr>
  </w:style>
  <w:style w:type="character" w:customStyle="1" w:styleId="RequirementLevel1Char">
    <w:name w:val="Requirement Level 1 Char"/>
    <w:basedOn w:val="DefaultParagraphFont"/>
    <w:link w:val="RequirementLevel1"/>
    <w:rsid w:val="00676E42"/>
    <w:rPr>
      <w:rFonts w:ascii="Segoe UI" w:hAnsi="Segoe UI" w:cs="Segoe UI"/>
      <w:b/>
      <w:color w:val="767171" w:themeColor="background2" w:themeShade="80"/>
      <w:sz w:val="28"/>
      <w:lang w:val="en-GB"/>
    </w:rPr>
  </w:style>
  <w:style w:type="paragraph" w:customStyle="1" w:styleId="RequirementLevel2">
    <w:name w:val="Requirement Level 2"/>
    <w:basedOn w:val="Normal"/>
    <w:link w:val="RequirementLevel2Char"/>
    <w:qFormat/>
    <w:rsid w:val="00676E42"/>
    <w:pPr>
      <w:spacing w:after="0" w:line="240" w:lineRule="auto"/>
    </w:pPr>
    <w:rPr>
      <w:b/>
      <w:color w:val="2E74B5" w:themeColor="accent1" w:themeShade="BF"/>
      <w:sz w:val="28"/>
      <w:lang w:val="en-GB"/>
    </w:rPr>
  </w:style>
  <w:style w:type="character" w:customStyle="1" w:styleId="RequirementLevel2Char">
    <w:name w:val="Requirement Level 2 Char"/>
    <w:basedOn w:val="DefaultParagraphFont"/>
    <w:link w:val="RequirementLevel2"/>
    <w:rsid w:val="00676E42"/>
    <w:rPr>
      <w:rFonts w:ascii="Segoe UI" w:hAnsi="Segoe UI" w:cs="Segoe UI"/>
      <w:b/>
      <w:color w:val="2E74B5" w:themeColor="accent1" w:themeShade="BF"/>
      <w:sz w:val="28"/>
      <w:lang w:val="en-GB"/>
    </w:rPr>
  </w:style>
  <w:style w:type="character" w:customStyle="1" w:styleId="Heading2Char">
    <w:name w:val="Heading 2 Char"/>
    <w:basedOn w:val="DefaultParagraphFont"/>
    <w:link w:val="Heading2"/>
    <w:uiPriority w:val="9"/>
    <w:rsid w:val="00676E42"/>
    <w:rPr>
      <w:rFonts w:ascii="Segoe UI" w:eastAsiaTheme="majorEastAsia" w:hAnsi="Segoe UI" w:cs="Segoe UI"/>
      <w:bCs/>
      <w:color w:val="5B9BD5" w:themeColor="accent1"/>
      <w:sz w:val="26"/>
      <w:szCs w:val="26"/>
    </w:rPr>
  </w:style>
  <w:style w:type="character" w:customStyle="1" w:styleId="Heading3Char">
    <w:name w:val="Heading 3 Char"/>
    <w:basedOn w:val="DefaultParagraphFont"/>
    <w:link w:val="Heading3"/>
    <w:uiPriority w:val="9"/>
    <w:rsid w:val="00676E42"/>
    <w:rPr>
      <w:rFonts w:ascii="Segoe UI" w:eastAsiaTheme="majorEastAsia" w:hAnsi="Segoe UI" w:cs="Segoe UI"/>
      <w:bCs/>
      <w:color w:val="5B9BD5" w:themeColor="accent1"/>
      <w:sz w:val="22"/>
      <w:szCs w:val="22"/>
    </w:rPr>
  </w:style>
  <w:style w:type="character" w:customStyle="1" w:styleId="Heading4Char">
    <w:name w:val="Heading 4 Char"/>
    <w:basedOn w:val="DefaultParagraphFont"/>
    <w:link w:val="Heading4"/>
    <w:uiPriority w:val="9"/>
    <w:rsid w:val="00676E42"/>
    <w:rPr>
      <w:rFonts w:asciiTheme="majorHAnsi" w:eastAsiaTheme="majorEastAsia" w:hAnsiTheme="majorHAnsi" w:cstheme="majorBidi"/>
      <w:b/>
      <w:bCs/>
      <w:i/>
      <w:iCs/>
      <w:color w:val="5B9BD5" w:themeColor="accent1"/>
      <w:sz w:val="22"/>
      <w:szCs w:val="22"/>
    </w:rPr>
  </w:style>
  <w:style w:type="character" w:customStyle="1" w:styleId="Heading5Char">
    <w:name w:val="Heading 5 Char"/>
    <w:basedOn w:val="DefaultParagraphFont"/>
    <w:link w:val="Heading5"/>
    <w:uiPriority w:val="9"/>
    <w:rsid w:val="00676E42"/>
    <w:rPr>
      <w:rFonts w:asciiTheme="majorHAnsi" w:eastAsiaTheme="majorEastAsia" w:hAnsiTheme="majorHAnsi" w:cstheme="majorBidi"/>
      <w:color w:val="1F4D78" w:themeColor="accent1" w:themeShade="7F"/>
      <w:sz w:val="22"/>
      <w:szCs w:val="22"/>
    </w:rPr>
  </w:style>
  <w:style w:type="paragraph" w:styleId="BalloonText">
    <w:name w:val="Balloon Text"/>
    <w:basedOn w:val="Normal"/>
    <w:link w:val="BalloonTextChar"/>
    <w:uiPriority w:val="99"/>
    <w:semiHidden/>
    <w:unhideWhenUsed/>
    <w:rsid w:val="004501A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4501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DC5E09-B6B6-40B3-B5DB-8FA2894C965C}"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1BD5F622-B1EB-4A84-A666-3E38AF02B005}">
      <dgm:prSet phldrT="[Text]"/>
      <dgm:spPr/>
      <dgm:t>
        <a:bodyPr/>
        <a:lstStyle/>
        <a:p>
          <a:r>
            <a:rPr lang="en-US"/>
            <a:t>Executive</a:t>
          </a:r>
        </a:p>
      </dgm:t>
    </dgm:pt>
    <dgm:pt modelId="{D21EF0B8-372B-454F-B95A-D678F6E49189}" type="parTrans" cxnId="{DF879A48-FB75-4C11-999B-B959B339A35E}">
      <dgm:prSet/>
      <dgm:spPr/>
      <dgm:t>
        <a:bodyPr/>
        <a:lstStyle/>
        <a:p>
          <a:endParaRPr lang="en-US"/>
        </a:p>
      </dgm:t>
    </dgm:pt>
    <dgm:pt modelId="{54984380-4373-48DD-B0AE-E0D48A81779A}" type="sibTrans" cxnId="{DF879A48-FB75-4C11-999B-B959B339A35E}">
      <dgm:prSet/>
      <dgm:spPr/>
      <dgm:t>
        <a:bodyPr/>
        <a:lstStyle/>
        <a:p>
          <a:endParaRPr lang="en-US"/>
        </a:p>
      </dgm:t>
    </dgm:pt>
    <dgm:pt modelId="{04DFE21E-0F77-427A-85F1-FD7EF4E1353E}">
      <dgm:prSet phldrT="[Text]"/>
      <dgm:spPr/>
      <dgm:t>
        <a:bodyPr/>
        <a:lstStyle/>
        <a:p>
          <a:r>
            <a:rPr lang="en-US"/>
            <a:t>Execution </a:t>
          </a:r>
        </a:p>
      </dgm:t>
    </dgm:pt>
    <dgm:pt modelId="{1188968A-8206-4380-BFA9-A394D4348083}" type="parTrans" cxnId="{2B43499D-96BC-4536-A059-8ADA534ECF2D}">
      <dgm:prSet/>
      <dgm:spPr/>
      <dgm:t>
        <a:bodyPr/>
        <a:lstStyle/>
        <a:p>
          <a:endParaRPr lang="en-US"/>
        </a:p>
      </dgm:t>
    </dgm:pt>
    <dgm:pt modelId="{598AE0A0-3299-457A-99B0-6BBEBA615A47}" type="sibTrans" cxnId="{2B43499D-96BC-4536-A059-8ADA534ECF2D}">
      <dgm:prSet/>
      <dgm:spPr/>
      <dgm:t>
        <a:bodyPr/>
        <a:lstStyle/>
        <a:p>
          <a:endParaRPr lang="en-US"/>
        </a:p>
      </dgm:t>
    </dgm:pt>
    <dgm:pt modelId="{B30B223C-8DA6-4185-A09C-5CCC20402A55}">
      <dgm:prSet phldrT="[Text]"/>
      <dgm:spPr/>
      <dgm:t>
        <a:bodyPr/>
        <a:lstStyle/>
        <a:p>
          <a:r>
            <a:rPr lang="en-US"/>
            <a:t>Delivery</a:t>
          </a:r>
        </a:p>
      </dgm:t>
    </dgm:pt>
    <dgm:pt modelId="{BD23E9FD-A919-4E21-B446-C728C336B94A}" type="parTrans" cxnId="{6047C511-EA9E-4434-AD08-E5FC15FCEB19}">
      <dgm:prSet/>
      <dgm:spPr/>
      <dgm:t>
        <a:bodyPr/>
        <a:lstStyle/>
        <a:p>
          <a:endParaRPr lang="en-US"/>
        </a:p>
      </dgm:t>
    </dgm:pt>
    <dgm:pt modelId="{FEAD6D1C-AF8B-4C04-B2A2-E9BF54021C1F}" type="sibTrans" cxnId="{6047C511-EA9E-4434-AD08-E5FC15FCEB19}">
      <dgm:prSet/>
      <dgm:spPr/>
      <dgm:t>
        <a:bodyPr/>
        <a:lstStyle/>
        <a:p>
          <a:endParaRPr lang="en-US"/>
        </a:p>
      </dgm:t>
    </dgm:pt>
    <dgm:pt modelId="{6F8475D2-D425-4F63-83C3-DB2AC4C8F1C1}" type="pres">
      <dgm:prSet presAssocID="{9DDC5E09-B6B6-40B3-B5DB-8FA2894C965C}" presName="Name0" presStyleCnt="0">
        <dgm:presLayoutVars>
          <dgm:chPref val="1"/>
          <dgm:dir/>
          <dgm:animOne val="branch"/>
          <dgm:animLvl val="lvl"/>
          <dgm:resizeHandles/>
        </dgm:presLayoutVars>
      </dgm:prSet>
      <dgm:spPr/>
      <dgm:t>
        <a:bodyPr/>
        <a:lstStyle/>
        <a:p>
          <a:endParaRPr lang="en-US"/>
        </a:p>
      </dgm:t>
    </dgm:pt>
    <dgm:pt modelId="{BCEB3F25-BC82-4364-80C4-3C841E0CD3DE}" type="pres">
      <dgm:prSet presAssocID="{1BD5F622-B1EB-4A84-A666-3E38AF02B005}" presName="vertOne" presStyleCnt="0"/>
      <dgm:spPr/>
    </dgm:pt>
    <dgm:pt modelId="{8A958296-400B-4CC1-86AB-4AE25B5377BA}" type="pres">
      <dgm:prSet presAssocID="{1BD5F622-B1EB-4A84-A666-3E38AF02B005}" presName="txOne" presStyleLbl="node0" presStyleIdx="0" presStyleCnt="1" custLinFactY="-3005" custLinFactNeighborX="-3895" custLinFactNeighborY="-100000">
        <dgm:presLayoutVars>
          <dgm:chPref val="3"/>
        </dgm:presLayoutVars>
      </dgm:prSet>
      <dgm:spPr/>
      <dgm:t>
        <a:bodyPr/>
        <a:lstStyle/>
        <a:p>
          <a:endParaRPr lang="en-US"/>
        </a:p>
      </dgm:t>
    </dgm:pt>
    <dgm:pt modelId="{7A5D16A9-A3EA-4342-A169-E79BE59C10E5}" type="pres">
      <dgm:prSet presAssocID="{1BD5F622-B1EB-4A84-A666-3E38AF02B005}" presName="parTransOne" presStyleCnt="0"/>
      <dgm:spPr/>
    </dgm:pt>
    <dgm:pt modelId="{8ACEDB09-2104-4362-85C9-EBFB4B3F8199}" type="pres">
      <dgm:prSet presAssocID="{1BD5F622-B1EB-4A84-A666-3E38AF02B005}" presName="horzOne" presStyleCnt="0"/>
      <dgm:spPr/>
    </dgm:pt>
    <dgm:pt modelId="{B5E7B373-33E3-4A80-B1FD-9255B3A0388C}" type="pres">
      <dgm:prSet presAssocID="{04DFE21E-0F77-427A-85F1-FD7EF4E1353E}" presName="vertTwo" presStyleCnt="0"/>
      <dgm:spPr/>
    </dgm:pt>
    <dgm:pt modelId="{9E3F2050-E47B-4128-9679-3A4324A22120}" type="pres">
      <dgm:prSet presAssocID="{04DFE21E-0F77-427A-85F1-FD7EF4E1353E}" presName="txTwo" presStyleLbl="node2" presStyleIdx="0" presStyleCnt="1">
        <dgm:presLayoutVars>
          <dgm:chPref val="3"/>
        </dgm:presLayoutVars>
      </dgm:prSet>
      <dgm:spPr/>
      <dgm:t>
        <a:bodyPr/>
        <a:lstStyle/>
        <a:p>
          <a:endParaRPr lang="en-US"/>
        </a:p>
      </dgm:t>
    </dgm:pt>
    <dgm:pt modelId="{4D6B0116-2B8C-460A-894D-F715622A43C5}" type="pres">
      <dgm:prSet presAssocID="{04DFE21E-0F77-427A-85F1-FD7EF4E1353E}" presName="parTransTwo" presStyleCnt="0"/>
      <dgm:spPr/>
    </dgm:pt>
    <dgm:pt modelId="{E51905CD-CFDB-4E11-8F80-22BF53B456EB}" type="pres">
      <dgm:prSet presAssocID="{04DFE21E-0F77-427A-85F1-FD7EF4E1353E}" presName="horzTwo" presStyleCnt="0"/>
      <dgm:spPr/>
    </dgm:pt>
    <dgm:pt modelId="{A6D28420-F05B-49F8-BF9D-E87D9A71689B}" type="pres">
      <dgm:prSet presAssocID="{B30B223C-8DA6-4185-A09C-5CCC20402A55}" presName="vertThree" presStyleCnt="0"/>
      <dgm:spPr/>
    </dgm:pt>
    <dgm:pt modelId="{0B994E8B-8460-4591-AA51-59BC19ED5934}" type="pres">
      <dgm:prSet presAssocID="{B30B223C-8DA6-4185-A09C-5CCC20402A55}" presName="txThree" presStyleLbl="node3" presStyleIdx="0" presStyleCnt="1">
        <dgm:presLayoutVars>
          <dgm:chPref val="3"/>
        </dgm:presLayoutVars>
      </dgm:prSet>
      <dgm:spPr/>
      <dgm:t>
        <a:bodyPr/>
        <a:lstStyle/>
        <a:p>
          <a:endParaRPr lang="en-US"/>
        </a:p>
      </dgm:t>
    </dgm:pt>
    <dgm:pt modelId="{6820E9EF-9BD4-48A2-A27B-D75866CB7525}" type="pres">
      <dgm:prSet presAssocID="{B30B223C-8DA6-4185-A09C-5CCC20402A55}" presName="horzThree" presStyleCnt="0"/>
      <dgm:spPr/>
    </dgm:pt>
  </dgm:ptLst>
  <dgm:cxnLst>
    <dgm:cxn modelId="{F22BA4CC-F4B6-4436-990D-7CB08078F655}" type="presOf" srcId="{04DFE21E-0F77-427A-85F1-FD7EF4E1353E}" destId="{9E3F2050-E47B-4128-9679-3A4324A22120}" srcOrd="0" destOrd="0" presId="urn:microsoft.com/office/officeart/2005/8/layout/hierarchy4"/>
    <dgm:cxn modelId="{C2B8C6B9-AB05-4B2D-BB96-DDCBDE4C53C0}" type="presOf" srcId="{B30B223C-8DA6-4185-A09C-5CCC20402A55}" destId="{0B994E8B-8460-4591-AA51-59BC19ED5934}" srcOrd="0" destOrd="0" presId="urn:microsoft.com/office/officeart/2005/8/layout/hierarchy4"/>
    <dgm:cxn modelId="{2B43499D-96BC-4536-A059-8ADA534ECF2D}" srcId="{1BD5F622-B1EB-4A84-A666-3E38AF02B005}" destId="{04DFE21E-0F77-427A-85F1-FD7EF4E1353E}" srcOrd="0" destOrd="0" parTransId="{1188968A-8206-4380-BFA9-A394D4348083}" sibTransId="{598AE0A0-3299-457A-99B0-6BBEBA615A47}"/>
    <dgm:cxn modelId="{DF879A48-FB75-4C11-999B-B959B339A35E}" srcId="{9DDC5E09-B6B6-40B3-B5DB-8FA2894C965C}" destId="{1BD5F622-B1EB-4A84-A666-3E38AF02B005}" srcOrd="0" destOrd="0" parTransId="{D21EF0B8-372B-454F-B95A-D678F6E49189}" sibTransId="{54984380-4373-48DD-B0AE-E0D48A81779A}"/>
    <dgm:cxn modelId="{1DF2933A-FD09-48FA-AC56-87BB315695F0}" type="presOf" srcId="{1BD5F622-B1EB-4A84-A666-3E38AF02B005}" destId="{8A958296-400B-4CC1-86AB-4AE25B5377BA}" srcOrd="0" destOrd="0" presId="urn:microsoft.com/office/officeart/2005/8/layout/hierarchy4"/>
    <dgm:cxn modelId="{6047C511-EA9E-4434-AD08-E5FC15FCEB19}" srcId="{04DFE21E-0F77-427A-85F1-FD7EF4E1353E}" destId="{B30B223C-8DA6-4185-A09C-5CCC20402A55}" srcOrd="0" destOrd="0" parTransId="{BD23E9FD-A919-4E21-B446-C728C336B94A}" sibTransId="{FEAD6D1C-AF8B-4C04-B2A2-E9BF54021C1F}"/>
    <dgm:cxn modelId="{E6A4D568-1511-4EAE-BC13-9C39E1B5C440}" type="presOf" srcId="{9DDC5E09-B6B6-40B3-B5DB-8FA2894C965C}" destId="{6F8475D2-D425-4F63-83C3-DB2AC4C8F1C1}" srcOrd="0" destOrd="0" presId="urn:microsoft.com/office/officeart/2005/8/layout/hierarchy4"/>
    <dgm:cxn modelId="{3570EB64-D660-464F-BE61-8E03CD714010}" type="presParOf" srcId="{6F8475D2-D425-4F63-83C3-DB2AC4C8F1C1}" destId="{BCEB3F25-BC82-4364-80C4-3C841E0CD3DE}" srcOrd="0" destOrd="0" presId="urn:microsoft.com/office/officeart/2005/8/layout/hierarchy4"/>
    <dgm:cxn modelId="{F8165C6E-2371-4C2E-99AB-E9681EDF74B9}" type="presParOf" srcId="{BCEB3F25-BC82-4364-80C4-3C841E0CD3DE}" destId="{8A958296-400B-4CC1-86AB-4AE25B5377BA}" srcOrd="0" destOrd="0" presId="urn:microsoft.com/office/officeart/2005/8/layout/hierarchy4"/>
    <dgm:cxn modelId="{71D77253-689C-490F-B514-11C394FE3CA9}" type="presParOf" srcId="{BCEB3F25-BC82-4364-80C4-3C841E0CD3DE}" destId="{7A5D16A9-A3EA-4342-A169-E79BE59C10E5}" srcOrd="1" destOrd="0" presId="urn:microsoft.com/office/officeart/2005/8/layout/hierarchy4"/>
    <dgm:cxn modelId="{8679B65B-AA8B-46CF-88E7-85E1154B005B}" type="presParOf" srcId="{BCEB3F25-BC82-4364-80C4-3C841E0CD3DE}" destId="{8ACEDB09-2104-4362-85C9-EBFB4B3F8199}" srcOrd="2" destOrd="0" presId="urn:microsoft.com/office/officeart/2005/8/layout/hierarchy4"/>
    <dgm:cxn modelId="{6C5C300B-4961-4B4B-9094-37C65FE0B2B5}" type="presParOf" srcId="{8ACEDB09-2104-4362-85C9-EBFB4B3F8199}" destId="{B5E7B373-33E3-4A80-B1FD-9255B3A0388C}" srcOrd="0" destOrd="0" presId="urn:microsoft.com/office/officeart/2005/8/layout/hierarchy4"/>
    <dgm:cxn modelId="{8E47F54D-ED35-444E-B9B8-CA05E383EE46}" type="presParOf" srcId="{B5E7B373-33E3-4A80-B1FD-9255B3A0388C}" destId="{9E3F2050-E47B-4128-9679-3A4324A22120}" srcOrd="0" destOrd="0" presId="urn:microsoft.com/office/officeart/2005/8/layout/hierarchy4"/>
    <dgm:cxn modelId="{81E005D5-0697-4103-8EB5-44343857FB44}" type="presParOf" srcId="{B5E7B373-33E3-4A80-B1FD-9255B3A0388C}" destId="{4D6B0116-2B8C-460A-894D-F715622A43C5}" srcOrd="1" destOrd="0" presId="urn:microsoft.com/office/officeart/2005/8/layout/hierarchy4"/>
    <dgm:cxn modelId="{BE253D1A-C1B5-4BBA-8E78-AE886DBDD0F8}" type="presParOf" srcId="{B5E7B373-33E3-4A80-B1FD-9255B3A0388C}" destId="{E51905CD-CFDB-4E11-8F80-22BF53B456EB}" srcOrd="2" destOrd="0" presId="urn:microsoft.com/office/officeart/2005/8/layout/hierarchy4"/>
    <dgm:cxn modelId="{83E9F68B-A99C-4E0C-8961-8C12F2A7CBBE}" type="presParOf" srcId="{E51905CD-CFDB-4E11-8F80-22BF53B456EB}" destId="{A6D28420-F05B-49F8-BF9D-E87D9A71689B}" srcOrd="0" destOrd="0" presId="urn:microsoft.com/office/officeart/2005/8/layout/hierarchy4"/>
    <dgm:cxn modelId="{4EC51888-1B94-4D6C-89CD-CF00C31160D7}" type="presParOf" srcId="{A6D28420-F05B-49F8-BF9D-E87D9A71689B}" destId="{0B994E8B-8460-4591-AA51-59BC19ED5934}" srcOrd="0" destOrd="0" presId="urn:microsoft.com/office/officeart/2005/8/layout/hierarchy4"/>
    <dgm:cxn modelId="{9592487F-8E39-4FCB-87BC-61575A275B73}" type="presParOf" srcId="{A6D28420-F05B-49F8-BF9D-E87D9A71689B}" destId="{6820E9EF-9BD4-48A2-A27B-D75866CB7525}" srcOrd="1" destOrd="0" presId="urn:microsoft.com/office/officeart/2005/8/layout/hierarchy4"/>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958296-400B-4CC1-86AB-4AE25B5377BA}">
      <dsp:nvSpPr>
        <dsp:cNvPr id="0" name=""/>
        <dsp:cNvSpPr/>
      </dsp:nvSpPr>
      <dsp:spPr>
        <a:xfrm>
          <a:off x="0" y="0"/>
          <a:ext cx="2445534" cy="4695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Executive</a:t>
          </a:r>
        </a:p>
      </dsp:txBody>
      <dsp:txXfrm>
        <a:off x="13751" y="13751"/>
        <a:ext cx="2418032" cy="442008"/>
      </dsp:txXfrm>
    </dsp:sp>
    <dsp:sp modelId="{9E3F2050-E47B-4128-9679-3A4324A22120}">
      <dsp:nvSpPr>
        <dsp:cNvPr id="0" name=""/>
        <dsp:cNvSpPr/>
      </dsp:nvSpPr>
      <dsp:spPr>
        <a:xfrm>
          <a:off x="1195" y="512957"/>
          <a:ext cx="2445534" cy="4695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Execution </a:t>
          </a:r>
        </a:p>
      </dsp:txBody>
      <dsp:txXfrm>
        <a:off x="14946" y="526708"/>
        <a:ext cx="2418032" cy="442008"/>
      </dsp:txXfrm>
    </dsp:sp>
    <dsp:sp modelId="{0B994E8B-8460-4591-AA51-59BC19ED5934}">
      <dsp:nvSpPr>
        <dsp:cNvPr id="0" name=""/>
        <dsp:cNvSpPr/>
      </dsp:nvSpPr>
      <dsp:spPr>
        <a:xfrm>
          <a:off x="1195" y="1025507"/>
          <a:ext cx="2445534" cy="4695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Delivery</a:t>
          </a:r>
        </a:p>
      </dsp:txBody>
      <dsp:txXfrm>
        <a:off x="14946" y="1039258"/>
        <a:ext cx="2418032" cy="4420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8795</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O'Brien</dc:creator>
  <cp:keywords/>
  <dc:description/>
  <cp:lastModifiedBy>Mike O'Brien</cp:lastModifiedBy>
  <cp:revision>4</cp:revision>
  <cp:lastPrinted>2014-12-23T20:00:00Z</cp:lastPrinted>
  <dcterms:created xsi:type="dcterms:W3CDTF">2014-11-25T14:56:00Z</dcterms:created>
  <dcterms:modified xsi:type="dcterms:W3CDTF">2014-12-29T16:43:00Z</dcterms:modified>
</cp:coreProperties>
</file>