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FE" w:rsidRDefault="007540FE" w:rsidP="00B52450"/>
    <w:p w:rsidR="007540FE" w:rsidRDefault="007540FE" w:rsidP="00B52450">
      <w:pPr>
        <w:pStyle w:val="Heading1"/>
      </w:pPr>
      <w:r>
        <w:t>Incident Report</w:t>
      </w:r>
      <w:r w:rsidR="00612047">
        <w:t xml:space="preserve"> </w:t>
      </w:r>
    </w:p>
    <w:p w:rsidR="007540FE" w:rsidRDefault="007540FE" w:rsidP="00B52450"/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601F34" w:rsidRPr="009910DD" w:rsidTr="00CB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:rsidR="00601F34" w:rsidRPr="009910DD" w:rsidRDefault="00601F34" w:rsidP="00B52450"/>
        </w:tc>
        <w:tc>
          <w:tcPr>
            <w:tcW w:w="6020" w:type="dxa"/>
          </w:tcPr>
          <w:p w:rsidR="00601F34" w:rsidRPr="009910DD" w:rsidRDefault="00601F34" w:rsidP="00B52450"/>
        </w:tc>
      </w:tr>
      <w:tr w:rsidR="002C0D7F" w:rsidRPr="009910DD" w:rsidTr="00CB71AC">
        <w:tc>
          <w:tcPr>
            <w:tcW w:w="3330" w:type="dxa"/>
          </w:tcPr>
          <w:p w:rsidR="002C0D7F" w:rsidRPr="009910DD" w:rsidRDefault="002C0D7F" w:rsidP="00B52450">
            <w:r>
              <w:t>Incident</w:t>
            </w:r>
          </w:p>
        </w:tc>
        <w:tc>
          <w:tcPr>
            <w:tcW w:w="6020" w:type="dxa"/>
          </w:tcPr>
          <w:p w:rsidR="002C0D7F" w:rsidRDefault="00C2044F" w:rsidP="00B52450">
            <w:hyperlink r:id="rId7" w:history="1">
              <w:r w:rsidRPr="00ED40BB">
                <w:rPr>
                  <w:rStyle w:val="Hyperlink"/>
                </w:rPr>
                <w:t>http://gsm.mmm.com/ITSM/Int_Detail.aspx?ID=SD2562501</w:t>
              </w:r>
            </w:hyperlink>
          </w:p>
          <w:p w:rsidR="00C2044F" w:rsidRPr="009910DD" w:rsidRDefault="00C2044F" w:rsidP="00B52450"/>
        </w:tc>
      </w:tr>
      <w:tr w:rsidR="00601F34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601F34" w:rsidRPr="009910DD" w:rsidRDefault="00601F34" w:rsidP="00B52450">
            <w:r>
              <w:t>When</w:t>
            </w:r>
          </w:p>
        </w:tc>
        <w:tc>
          <w:tcPr>
            <w:tcW w:w="6020" w:type="dxa"/>
          </w:tcPr>
          <w:p w:rsidR="00601F34" w:rsidRPr="009910DD" w:rsidRDefault="00341A8B" w:rsidP="00B52450">
            <w:r>
              <w:t>Dec 4, 2015 8:54 am</w:t>
            </w:r>
          </w:p>
        </w:tc>
      </w:tr>
      <w:tr w:rsidR="00612047" w:rsidRPr="009910DD" w:rsidTr="00CB71AC">
        <w:tc>
          <w:tcPr>
            <w:tcW w:w="3330" w:type="dxa"/>
          </w:tcPr>
          <w:p w:rsidR="00612047" w:rsidRDefault="00612047" w:rsidP="00B52450">
            <w:r>
              <w:t>Severity</w:t>
            </w:r>
          </w:p>
        </w:tc>
        <w:tc>
          <w:tcPr>
            <w:tcW w:w="6020" w:type="dxa"/>
          </w:tcPr>
          <w:p w:rsidR="00612047" w:rsidRDefault="001D1A64" w:rsidP="00B52450">
            <w:r>
              <w:t>Outage</w:t>
            </w:r>
          </w:p>
        </w:tc>
      </w:tr>
      <w:tr w:rsidR="00612047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612047" w:rsidRDefault="00612047" w:rsidP="00B52450">
            <w:r>
              <w:t>Duration</w:t>
            </w:r>
          </w:p>
        </w:tc>
        <w:tc>
          <w:tcPr>
            <w:tcW w:w="6020" w:type="dxa"/>
          </w:tcPr>
          <w:p w:rsidR="00612047" w:rsidRDefault="00341A8B" w:rsidP="00B52450">
            <w:r>
              <w:t>2 hours 44 min</w:t>
            </w:r>
          </w:p>
        </w:tc>
      </w:tr>
      <w:tr w:rsidR="00601F34" w:rsidRPr="009910DD" w:rsidTr="00CB71AC">
        <w:tc>
          <w:tcPr>
            <w:tcW w:w="3330" w:type="dxa"/>
          </w:tcPr>
          <w:p w:rsidR="00601F34" w:rsidRPr="009910DD" w:rsidRDefault="00601F34" w:rsidP="00B52450">
            <w:r>
              <w:t>Description</w:t>
            </w:r>
          </w:p>
        </w:tc>
        <w:tc>
          <w:tcPr>
            <w:tcW w:w="6020" w:type="dxa"/>
          </w:tcPr>
          <w:p w:rsidR="00601F34" w:rsidRDefault="00341A8B" w:rsidP="00B52450">
            <w:r>
              <w:t>Outage was first detect by a user at 8:54 am.  Monitoring triggered an alert at 8:56 am.  The Incident ticket was opened at 10:06 am.</w:t>
            </w:r>
          </w:p>
          <w:p w:rsidR="00341A8B" w:rsidRDefault="00341A8B" w:rsidP="00B52450"/>
          <w:p w:rsidR="00341A8B" w:rsidRDefault="00341A8B" w:rsidP="00B52450">
            <w:r>
              <w:t>One of the App tier machines was down (tfsprod01), while the second continued to be operational.</w:t>
            </w:r>
          </w:p>
          <w:p w:rsidR="00341A8B" w:rsidRDefault="00341A8B" w:rsidP="00B52450"/>
          <w:p w:rsidR="00341A8B" w:rsidRDefault="00341A8B" w:rsidP="00B52450">
            <w:r>
              <w:t>Once the account issues were identified, a change to a service account that was not affected was made to bring the ETFS PROD service back online.</w:t>
            </w:r>
          </w:p>
          <w:p w:rsidR="000D5CFE" w:rsidRDefault="000D5CFE" w:rsidP="00B52450"/>
          <w:p w:rsidR="000D5CFE" w:rsidRDefault="000D5CFE" w:rsidP="00B52450">
            <w:r>
              <w:t>TFS DEV, TFS QA, and TFS PROD were affected.</w:t>
            </w:r>
          </w:p>
          <w:p w:rsidR="00341A8B" w:rsidRPr="009910DD" w:rsidRDefault="00341A8B" w:rsidP="00B52450"/>
        </w:tc>
      </w:tr>
      <w:tr w:rsidR="00025E1C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025E1C" w:rsidRDefault="00025E1C" w:rsidP="00B52450">
            <w:r>
              <w:t>Resolution Time</w:t>
            </w:r>
          </w:p>
        </w:tc>
        <w:tc>
          <w:tcPr>
            <w:tcW w:w="6020" w:type="dxa"/>
          </w:tcPr>
          <w:p w:rsidR="00025E1C" w:rsidRDefault="00341A8B" w:rsidP="00BB50DB">
            <w:r>
              <w:t>11:38 am</w:t>
            </w:r>
            <w:r w:rsidR="00BB50DB">
              <w:t xml:space="preserve"> </w:t>
            </w:r>
          </w:p>
        </w:tc>
      </w:tr>
      <w:tr w:rsidR="00601F34" w:rsidRPr="009910DD" w:rsidTr="00CB71AC">
        <w:tc>
          <w:tcPr>
            <w:tcW w:w="3330" w:type="dxa"/>
          </w:tcPr>
          <w:p w:rsidR="00601F34" w:rsidRPr="009910DD" w:rsidRDefault="00601F34" w:rsidP="00B52450">
            <w:r>
              <w:t>Root Cause</w:t>
            </w:r>
          </w:p>
        </w:tc>
        <w:tc>
          <w:tcPr>
            <w:tcW w:w="6020" w:type="dxa"/>
          </w:tcPr>
          <w:p w:rsidR="00CC2D65" w:rsidRDefault="00CC2D65" w:rsidP="0027462E"/>
          <w:p w:rsidR="00A715D5" w:rsidRDefault="00A715D5" w:rsidP="00A715D5">
            <w:pPr>
              <w:outlineLvl w:val="0"/>
              <w:rPr>
                <w:rFonts w:ascii="Calibri" w:eastAsiaTheme="minorHAnsi" w:hAnsi="Calibri" w:cs="Times New Roman"/>
                <w:color w:val="auto"/>
                <w:sz w:val="22"/>
              </w:rPr>
            </w:pPr>
            <w:r>
              <w:rPr>
                <w:b/>
                <w:bCs/>
              </w:rPr>
              <w:t>From:</w:t>
            </w:r>
            <w:r>
              <w:t xml:space="preserve"> Andy Dinger </w:t>
            </w:r>
            <w:r>
              <w:br/>
            </w:r>
            <w:r>
              <w:rPr>
                <w:b/>
                <w:bCs/>
              </w:rPr>
              <w:t>Sent:</w:t>
            </w:r>
            <w:r>
              <w:t xml:space="preserve"> Friday, December 04, 2015 11:38 AM</w:t>
            </w:r>
            <w:r>
              <w:br/>
            </w:r>
            <w:r>
              <w:rPr>
                <w:b/>
                <w:bCs/>
              </w:rPr>
              <w:t>To:</w:t>
            </w:r>
            <w:r>
              <w:t xml:space="preserve"> Carl Fassbender &lt;</w:t>
            </w:r>
            <w:hyperlink r:id="rId8" w:history="1">
              <w:r>
                <w:rPr>
                  <w:rStyle w:val="Hyperlink"/>
                </w:rPr>
                <w:t>c2fassbender@mmm.com</w:t>
              </w:r>
            </w:hyperlink>
            <w:r>
              <w:t>&gt;; Scott Sitowski &lt;</w:t>
            </w:r>
            <w:hyperlink r:id="rId9" w:history="1">
              <w:r>
                <w:rPr>
                  <w:rStyle w:val="Hyperlink"/>
                </w:rPr>
                <w:t>sesitowski@mmm.com</w:t>
              </w:r>
            </w:hyperlink>
            <w:r>
              <w:t>&gt;; Everett Taylor &lt;</w:t>
            </w:r>
            <w:hyperlink r:id="rId10" w:history="1">
              <w:r>
                <w:rPr>
                  <w:rStyle w:val="Hyperlink"/>
                </w:rPr>
                <w:t>etaylor@mmm.com</w:t>
              </w:r>
            </w:hyperlink>
            <w:r>
              <w:t>&gt;; Emily Gregerson &lt;</w:t>
            </w:r>
            <w:hyperlink r:id="rId11" w:history="1">
              <w:r>
                <w:rPr>
                  <w:rStyle w:val="Hyperlink"/>
                </w:rPr>
                <w:t>engregerson@mmm.com</w:t>
              </w:r>
            </w:hyperlink>
            <w:r>
              <w:t>&gt;</w:t>
            </w:r>
            <w:r>
              <w:br/>
            </w:r>
            <w:r>
              <w:rPr>
                <w:b/>
                <w:bCs/>
              </w:rPr>
              <w:t>Subject:</w:t>
            </w:r>
            <w:r>
              <w:t xml:space="preserve"> RE: NPSA Account Expiration from membership in both 90 day and 380 day groups</w:t>
            </w:r>
          </w:p>
          <w:p w:rsidR="00A715D5" w:rsidRDefault="00A715D5" w:rsidP="00A715D5"/>
          <w:p w:rsidR="00A715D5" w:rsidRDefault="00A715D5" w:rsidP="00A715D5">
            <w:pPr>
              <w:rPr>
                <w:color w:val="1F497D"/>
              </w:rPr>
            </w:pPr>
            <w:r>
              <w:rPr>
                <w:color w:val="1F497D"/>
              </w:rPr>
              <w:t xml:space="preserve">They have logon restrictions, so worst case would be </w:t>
            </w:r>
            <w:proofErr w:type="gramStart"/>
            <w:r>
              <w:rPr>
                <w:color w:val="1F497D"/>
              </w:rPr>
              <w:t>90/100 day</w:t>
            </w:r>
            <w:proofErr w:type="gramEnd"/>
            <w:r>
              <w:rPr>
                <w:color w:val="1F497D"/>
              </w:rPr>
              <w:t xml:space="preserve"> bucket.</w:t>
            </w:r>
          </w:p>
          <w:p w:rsidR="00A715D5" w:rsidRDefault="00A715D5" w:rsidP="00A715D5">
            <w:pPr>
              <w:rPr>
                <w:color w:val="1F497D"/>
              </w:rPr>
            </w:pPr>
          </w:p>
          <w:p w:rsidR="00A715D5" w:rsidRDefault="00A715D5" w:rsidP="00A715D5">
            <w:pPr>
              <w:rPr>
                <w:color w:val="1F497D"/>
              </w:rPr>
            </w:pPr>
            <w:r>
              <w:rPr>
                <w:color w:val="1F497D"/>
              </w:rPr>
              <w:t>Just so everyone knows, these accounts had expiration dates applied (not password expiration, account expiration).  We don’t use account expiration, in any great frequency anyway.  I have un-expired them and they work fine now.</w:t>
            </w:r>
          </w:p>
          <w:p w:rsidR="00A715D5" w:rsidRDefault="00A715D5" w:rsidP="00A715D5">
            <w:pPr>
              <w:rPr>
                <w:color w:val="1F497D"/>
              </w:rPr>
            </w:pPr>
          </w:p>
          <w:p w:rsidR="00A715D5" w:rsidRDefault="00A715D5" w:rsidP="00A715D5">
            <w:pPr>
              <w:rPr>
                <w:color w:val="1F497D"/>
              </w:rPr>
            </w:pPr>
            <w:r>
              <w:rPr>
                <w:color w:val="1F497D"/>
              </w:rPr>
              <w:t>I’m going through and seeing when the attribute was set.  It if was further back than 90 days, I might be sol.</w:t>
            </w:r>
          </w:p>
          <w:p w:rsidR="00A715D5" w:rsidRDefault="00A715D5" w:rsidP="00A715D5">
            <w:pPr>
              <w:rPr>
                <w:color w:val="1F497D"/>
              </w:rPr>
            </w:pPr>
          </w:p>
          <w:p w:rsidR="00A715D5" w:rsidRDefault="00A715D5" w:rsidP="00A715D5">
            <w:pPr>
              <w:rPr>
                <w:color w:val="1F497D"/>
              </w:rPr>
            </w:pPr>
            <w:r>
              <w:rPr>
                <w:color w:val="1F497D"/>
              </w:rPr>
              <w:t>Regards,</w:t>
            </w:r>
          </w:p>
          <w:p w:rsidR="00A715D5" w:rsidRDefault="00A715D5" w:rsidP="00A715D5">
            <w:pPr>
              <w:rPr>
                <w:color w:val="1F497D"/>
              </w:rPr>
            </w:pPr>
          </w:p>
          <w:p w:rsidR="00A715D5" w:rsidRDefault="00A715D5" w:rsidP="00A715D5">
            <w:pPr>
              <w:spacing w:before="180"/>
              <w:rPr>
                <w:rFonts w:ascii="3M Circular TT Book" w:hAnsi="3M Circular TT Book"/>
                <w:color w:val="1F497D"/>
                <w:sz w:val="20"/>
                <w:szCs w:val="20"/>
              </w:rPr>
            </w:pPr>
            <w:r>
              <w:rPr>
                <w:rFonts w:ascii="3M Circular TT Book" w:hAnsi="3M Circular TT Book"/>
                <w:noProof/>
                <w:color w:val="1F497D"/>
                <w:sz w:val="20"/>
                <w:szCs w:val="20"/>
              </w:rPr>
              <w:drawing>
                <wp:inline distT="0" distB="0" distL="0" distR="0">
                  <wp:extent cx="1866900" cy="333375"/>
                  <wp:effectExtent l="0" t="0" r="0" b="9525"/>
                  <wp:docPr id="1" name="Picture 1" descr="cid:image006.gif@01D0A8CE.7C724F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6.gif@01D0A8CE.7C724F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D5" w:rsidRDefault="00A715D5" w:rsidP="00A715D5">
            <w:pPr>
              <w:autoSpaceDE w:val="0"/>
              <w:autoSpaceDN w:val="0"/>
              <w:rPr>
                <w:rFonts w:ascii="3M Circular TT Book" w:hAnsi="3M Circular TT Book"/>
                <w:color w:val="000000"/>
                <w:sz w:val="20"/>
                <w:szCs w:val="20"/>
              </w:rPr>
            </w:pPr>
          </w:p>
          <w:p w:rsidR="00A715D5" w:rsidRPr="00A715D5" w:rsidRDefault="00A715D5" w:rsidP="00A715D5">
            <w:pPr>
              <w:autoSpaceDE w:val="0"/>
              <w:autoSpaceDN w:val="0"/>
              <w:rPr>
                <w:rFonts w:ascii="Arial" w:hAnsi="Arial" w:cs="Arial"/>
                <w:color w:val="0000FF"/>
                <w:sz w:val="16"/>
                <w:u w:val="single"/>
              </w:rPr>
            </w:pPr>
            <w:r w:rsidRPr="00A715D5">
              <w:rPr>
                <w:rFonts w:ascii="Arial" w:hAnsi="Arial" w:cs="Arial"/>
                <w:b/>
                <w:bCs/>
                <w:color w:val="000000"/>
                <w:szCs w:val="20"/>
              </w:rPr>
              <w:t>Andrew Dinger</w:t>
            </w:r>
            <w:r w:rsidRPr="00A715D5">
              <w:rPr>
                <w:rFonts w:ascii="Arial" w:hAnsi="Arial" w:cs="Arial"/>
                <w:color w:val="000000"/>
                <w:szCs w:val="20"/>
              </w:rPr>
              <w:t xml:space="preserve"> | IT Security Supervisor</w:t>
            </w:r>
            <w:r w:rsidRPr="00A715D5">
              <w:rPr>
                <w:rFonts w:ascii="Arial" w:hAnsi="Arial" w:cs="Arial"/>
                <w:color w:val="000000"/>
                <w:szCs w:val="20"/>
              </w:rPr>
              <w:br/>
            </w:r>
            <w:r w:rsidRPr="00A715D5">
              <w:rPr>
                <w:rFonts w:ascii="Arial" w:hAnsi="Arial" w:cs="Arial"/>
                <w:b/>
                <w:bCs/>
                <w:color w:val="000000"/>
                <w:szCs w:val="20"/>
              </w:rPr>
              <w:t>Information Technology</w:t>
            </w:r>
            <w:r w:rsidRPr="00A715D5">
              <w:rPr>
                <w:rFonts w:ascii="Arial" w:hAnsi="Arial" w:cs="Arial"/>
                <w:color w:val="000000"/>
                <w:szCs w:val="20"/>
              </w:rPr>
              <w:br/>
              <w:t>3M Center, 583-03-01 | St. Paul, MN 55144-1000 | United States</w:t>
            </w:r>
            <w:r w:rsidRPr="00A715D5">
              <w:rPr>
                <w:rFonts w:ascii="Arial" w:hAnsi="Arial" w:cs="Arial"/>
                <w:color w:val="000000"/>
                <w:szCs w:val="20"/>
              </w:rPr>
              <w:br/>
              <w:t>Office: +1 651 231 8638 | Mobile: +1 651 231 8638</w:t>
            </w:r>
            <w:r w:rsidRPr="00A715D5">
              <w:rPr>
                <w:rFonts w:ascii="Arial" w:hAnsi="Arial" w:cs="Arial"/>
                <w:color w:val="000000"/>
                <w:szCs w:val="20"/>
              </w:rPr>
              <w:br/>
            </w:r>
            <w:hyperlink r:id="rId14" w:history="1">
              <w:r w:rsidRPr="00A715D5">
                <w:rPr>
                  <w:rStyle w:val="Hyperlink"/>
                  <w:rFonts w:ascii="Arial" w:hAnsi="Arial" w:cs="Arial"/>
                  <w:color w:val="0000FF"/>
                  <w:szCs w:val="20"/>
                </w:rPr>
                <w:t>adinger@mmm.com</w:t>
              </w:r>
            </w:hyperlink>
          </w:p>
          <w:p w:rsidR="00A715D5" w:rsidRPr="009910DD" w:rsidRDefault="00A715D5" w:rsidP="0027462E"/>
        </w:tc>
      </w:tr>
    </w:tbl>
    <w:p w:rsidR="007540FE" w:rsidRDefault="007540FE" w:rsidP="00B52450"/>
    <w:p w:rsidR="00CC2D65" w:rsidRDefault="00CC2D65" w:rsidP="00B52450">
      <w:pPr>
        <w:pStyle w:val="Heading2"/>
      </w:pPr>
      <w:r>
        <w:t>Process Improvement Steps</w:t>
      </w:r>
    </w:p>
    <w:p w:rsidR="006D709B" w:rsidRDefault="006D709B" w:rsidP="006D709B">
      <w:r>
        <w:t>From the incident investigation, these improvements have been identified.</w:t>
      </w:r>
    </w:p>
    <w:p w:rsidR="000D5CFE" w:rsidRDefault="000D5CFE" w:rsidP="00B52450"/>
    <w:tbl>
      <w:tblPr>
        <w:tblStyle w:val="NormalRangerTable"/>
        <w:tblW w:w="0" w:type="auto"/>
        <w:tblInd w:w="3" w:type="dxa"/>
        <w:tblLook w:val="04A0" w:firstRow="1" w:lastRow="0" w:firstColumn="1" w:lastColumn="0" w:noHBand="0" w:noVBand="1"/>
      </w:tblPr>
      <w:tblGrid>
        <w:gridCol w:w="2121"/>
        <w:gridCol w:w="5118"/>
        <w:gridCol w:w="1131"/>
        <w:gridCol w:w="984"/>
      </w:tblGrid>
      <w:tr w:rsidR="006D709B" w:rsidRPr="009910DD" w:rsidTr="006D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</w:tcPr>
          <w:p w:rsidR="006D709B" w:rsidRPr="002E0C0A" w:rsidRDefault="006D709B" w:rsidP="00A01BB5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Step</w:t>
            </w:r>
          </w:p>
        </w:tc>
        <w:tc>
          <w:tcPr>
            <w:tcW w:w="5118" w:type="dxa"/>
          </w:tcPr>
          <w:p w:rsidR="006D709B" w:rsidRPr="002E0C0A" w:rsidRDefault="006D709B" w:rsidP="00A01BB5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Description</w:t>
            </w:r>
          </w:p>
        </w:tc>
        <w:tc>
          <w:tcPr>
            <w:tcW w:w="1131" w:type="dxa"/>
          </w:tcPr>
          <w:p w:rsidR="006D709B" w:rsidRPr="002E0C0A" w:rsidRDefault="006D709B" w:rsidP="00A01BB5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Timeframe</w:t>
            </w:r>
          </w:p>
        </w:tc>
        <w:tc>
          <w:tcPr>
            <w:tcW w:w="984" w:type="dxa"/>
          </w:tcPr>
          <w:p w:rsidR="006D709B" w:rsidRPr="002E0C0A" w:rsidRDefault="006D709B" w:rsidP="00A01BB5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Lead</w:t>
            </w:r>
          </w:p>
        </w:tc>
      </w:tr>
      <w:tr w:rsidR="006D709B" w:rsidRPr="009910DD" w:rsidTr="006D709B">
        <w:tc>
          <w:tcPr>
            <w:tcW w:w="2121" w:type="dxa"/>
          </w:tcPr>
          <w:p w:rsidR="006D709B" w:rsidRPr="009910DD" w:rsidRDefault="006D709B" w:rsidP="00A01BB5">
            <w:r>
              <w:t>Confirm all service accounts do not have an account expiration set</w:t>
            </w:r>
          </w:p>
        </w:tc>
        <w:tc>
          <w:tcPr>
            <w:tcW w:w="5118" w:type="dxa"/>
          </w:tcPr>
          <w:p w:rsidR="006D709B" w:rsidRDefault="006D709B" w:rsidP="00A01BB5">
            <w:r>
              <w:t>Have IT Security check all ETFS Service accounts for the account expiration attribute.  Ensure the service accounts will not expire in the future.</w:t>
            </w:r>
          </w:p>
          <w:p w:rsidR="006D709B" w:rsidRPr="009910DD" w:rsidRDefault="006D709B" w:rsidP="00A01BB5"/>
        </w:tc>
        <w:tc>
          <w:tcPr>
            <w:tcW w:w="1131" w:type="dxa"/>
          </w:tcPr>
          <w:p w:rsidR="006D709B" w:rsidRDefault="006D709B" w:rsidP="00A01BB5">
            <w:r>
              <w:t>12/4/2015</w:t>
            </w:r>
          </w:p>
          <w:p w:rsidR="006D709B" w:rsidRPr="009E1D52" w:rsidRDefault="006D709B" w:rsidP="00A01BB5">
            <w:r>
              <w:t>Completed</w:t>
            </w:r>
          </w:p>
        </w:tc>
        <w:tc>
          <w:tcPr>
            <w:tcW w:w="984" w:type="dxa"/>
          </w:tcPr>
          <w:p w:rsidR="006D709B" w:rsidRPr="00B52450" w:rsidRDefault="006D709B" w:rsidP="00A01BB5">
            <w:r>
              <w:t>Everett Taylor</w:t>
            </w:r>
          </w:p>
        </w:tc>
      </w:tr>
    </w:tbl>
    <w:p w:rsidR="007540FE" w:rsidRDefault="007540FE" w:rsidP="00B52450">
      <w:bookmarkStart w:id="0" w:name="_GoBack"/>
      <w:bookmarkEnd w:id="0"/>
    </w:p>
    <w:sectPr w:rsidR="007540F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7AA" w:rsidRDefault="00DD07AA" w:rsidP="00B52450">
      <w:r>
        <w:separator/>
      </w:r>
    </w:p>
  </w:endnote>
  <w:endnote w:type="continuationSeparator" w:id="0">
    <w:p w:rsidR="00DD07AA" w:rsidRDefault="00DD07AA" w:rsidP="00B5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3M Circular TT Book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 w:rsidP="00B52450"/>
  <w:p w:rsidR="00612047" w:rsidRPr="00612047" w:rsidRDefault="003E7129" w:rsidP="00B52450">
    <w:r>
      <w:t>3M Confidential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12047" w:rsidRPr="00612047">
      <w:fldChar w:fldCharType="begin"/>
    </w:r>
    <w:r w:rsidR="00612047" w:rsidRPr="00612047">
      <w:instrText xml:space="preserve"> DATE \@ "M/d/yyyy h:mm am/pm" </w:instrText>
    </w:r>
    <w:r w:rsidR="00612047" w:rsidRPr="00612047">
      <w:fldChar w:fldCharType="separate"/>
    </w:r>
    <w:r w:rsidR="00C2044F">
      <w:rPr>
        <w:noProof/>
      </w:rPr>
      <w:t>12/4/2015 11:22 AM</w:t>
    </w:r>
    <w:r w:rsidR="00612047" w:rsidRPr="0061204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7AA" w:rsidRDefault="00DD07AA" w:rsidP="00B52450">
      <w:r>
        <w:separator/>
      </w:r>
    </w:p>
  </w:footnote>
  <w:footnote w:type="continuationSeparator" w:id="0">
    <w:p w:rsidR="00DD07AA" w:rsidRDefault="00DD07AA" w:rsidP="00B52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0FE" w:rsidRDefault="007540FE" w:rsidP="00B52450">
    <w:pPr>
      <w:pStyle w:val="Header"/>
    </w:pPr>
    <w:r>
      <w:rPr>
        <w:noProof/>
      </w:rPr>
      <w:drawing>
        <wp:inline distT="0" distB="0" distL="0" distR="0">
          <wp:extent cx="3362325" cy="47625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ETF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2325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10C"/>
    <w:multiLevelType w:val="hybridMultilevel"/>
    <w:tmpl w:val="092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6DE5"/>
    <w:multiLevelType w:val="hybridMultilevel"/>
    <w:tmpl w:val="08B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2979"/>
    <w:multiLevelType w:val="hybridMultilevel"/>
    <w:tmpl w:val="08B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722E"/>
    <w:multiLevelType w:val="hybridMultilevel"/>
    <w:tmpl w:val="38B6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FE"/>
    <w:rsid w:val="00015B82"/>
    <w:rsid w:val="00025E1C"/>
    <w:rsid w:val="000A04B2"/>
    <w:rsid w:val="000D5CFE"/>
    <w:rsid w:val="00197F51"/>
    <w:rsid w:val="001B1600"/>
    <w:rsid w:val="001D1A64"/>
    <w:rsid w:val="00243709"/>
    <w:rsid w:val="0027462E"/>
    <w:rsid w:val="002C0D7F"/>
    <w:rsid w:val="002E0C0A"/>
    <w:rsid w:val="00341A8B"/>
    <w:rsid w:val="0038000E"/>
    <w:rsid w:val="003E7129"/>
    <w:rsid w:val="00522A9F"/>
    <w:rsid w:val="00601F34"/>
    <w:rsid w:val="00612047"/>
    <w:rsid w:val="006D709B"/>
    <w:rsid w:val="006F01E1"/>
    <w:rsid w:val="007540FE"/>
    <w:rsid w:val="00826587"/>
    <w:rsid w:val="009E1D52"/>
    <w:rsid w:val="00A715D5"/>
    <w:rsid w:val="00B52450"/>
    <w:rsid w:val="00BB50DB"/>
    <w:rsid w:val="00C2044F"/>
    <w:rsid w:val="00CA1594"/>
    <w:rsid w:val="00CC2D65"/>
    <w:rsid w:val="00D95F62"/>
    <w:rsid w:val="00DD07AA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AFDA8"/>
  <w15:chartTrackingRefBased/>
  <w15:docId w15:val="{02B896DC-C0C1-4106-9797-BB75C91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50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sz w:val="1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0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0FE"/>
  </w:style>
  <w:style w:type="paragraph" w:styleId="Footer">
    <w:name w:val="footer"/>
    <w:basedOn w:val="Normal"/>
    <w:link w:val="FooterChar"/>
    <w:uiPriority w:val="99"/>
    <w:unhideWhenUsed/>
    <w:rsid w:val="00754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0FE"/>
  </w:style>
  <w:style w:type="character" w:customStyle="1" w:styleId="Heading1Char">
    <w:name w:val="Heading 1 Char"/>
    <w:basedOn w:val="DefaultParagraphFont"/>
    <w:link w:val="Heading1"/>
    <w:uiPriority w:val="9"/>
    <w:rsid w:val="00754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RangerTable">
    <w:name w:val="Normal Ranger Table"/>
    <w:basedOn w:val="TableNormal"/>
    <w:uiPriority w:val="99"/>
    <w:rsid w:val="00601F34"/>
    <w:pPr>
      <w:spacing w:after="0" w:line="240" w:lineRule="auto"/>
    </w:pPr>
    <w:rPr>
      <w:rFonts w:ascii="Segoe UI" w:eastAsiaTheme="minorEastAsia" w:hAnsi="Segoe UI"/>
      <w:color w:val="404040" w:themeColor="text1" w:themeTint="BF"/>
      <w:szCs w:val="22"/>
    </w:rPr>
    <w:tblPr>
      <w:tblStyleRowBandSize w:val="1"/>
      <w:tblBorders>
        <w:top w:val="single" w:sz="2" w:space="0" w:color="BDD6EE" w:themeColor="accent1" w:themeTint="66"/>
        <w:left w:val="single" w:sz="2" w:space="0" w:color="BDD6EE" w:themeColor="accent1" w:themeTint="66"/>
        <w:bottom w:val="single" w:sz="2" w:space="0" w:color="BDD6EE" w:themeColor="accent1" w:themeTint="66"/>
        <w:right w:val="single" w:sz="2" w:space="0" w:color="BDD6EE" w:themeColor="accent1" w:themeTint="66"/>
        <w:insideH w:val="single" w:sz="2" w:space="0" w:color="BDD6EE" w:themeColor="accent1" w:themeTint="66"/>
        <w:insideV w:val="single" w:sz="2" w:space="0" w:color="BDD6EE" w:themeColor="accent1" w:themeTint="66"/>
      </w:tblBorders>
    </w:tblPr>
    <w:tblStylePr w:type="firstRow">
      <w:pPr>
        <w:jc w:val="left"/>
      </w:pPr>
      <w:rPr>
        <w:rFonts w:ascii="Segoe UI" w:hAnsi="Segoe UI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2Horz">
      <w:rPr>
        <w:rFonts w:ascii="Segoe UI" w:hAnsi="Segoe UI"/>
        <w:color w:val="595959" w:themeColor="text1" w:themeTint="A6"/>
        <w:sz w:val="20"/>
      </w:rPr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12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D5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15B8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2fassbender@mmm.com" TargetMode="External"/><Relationship Id="rId13" Type="http://schemas.openxmlformats.org/officeDocument/2006/relationships/image" Target="cid:image001.gif@01D12E88.3F498DB0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gsm.mmm.com/ITSM/Int_Detail.aspx?ID=SD2562501" TargetMode="Externa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ngregerson@mmm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etaylor@mmm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sesitowski@mmm.com" TargetMode="External"/><Relationship Id="rId14" Type="http://schemas.openxmlformats.org/officeDocument/2006/relationships/hyperlink" Target="mailto:adinger@mmm.co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3</cp:revision>
  <dcterms:created xsi:type="dcterms:W3CDTF">2015-12-04T18:14:00Z</dcterms:created>
  <dcterms:modified xsi:type="dcterms:W3CDTF">2015-12-04T19:19:00Z</dcterms:modified>
</cp:coreProperties>
</file>