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Calibri"/>
          <w:b/>
          <w:i w:val="0"/>
          <w:sz w:val="28"/>
        </w:rPr>
        <w:t>Ideation Phase</w:t>
      </w:r>
    </w:p>
    <w:p>
      <w:pPr>
        <w:spacing w:after="200"/>
        <w:jc w:val="center"/>
      </w:pPr>
      <w:r>
        <w:rPr>
          <w:rFonts w:ascii="Calibri" w:hAnsi="Calibri" w:cs="Calibri" w:eastAsia="Calibri"/>
          <w:b/>
          <w:i w:val="0"/>
          <w:sz w:val="28"/>
        </w:rPr>
        <w:t>Empathize &amp; Discover</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4"/>
        <w:gridCol w:w="4514"/>
      </w:tblGrid>
      <w:tr>
        <w:tc>
          <w:tcPr>
            <w:tcW w:type="dxa" w:w="4514"/>
          </w:tcPr>
          <w:p>
            <w:pPr>
              <w:spacing w:after="40"/>
            </w:pPr>
            <w:r>
              <w:rPr>
                <w:rFonts w:ascii="Calibri" w:hAnsi="Calibri" w:cs="Calibri" w:eastAsia="Calibri"/>
                <w:sz w:val="22"/>
              </w:rPr>
              <w:t>Date</w:t>
            </w:r>
          </w:p>
        </w:tc>
        <w:tc>
          <w:tcPr>
            <w:tcW w:type="dxa" w:w="4514"/>
          </w:tcPr>
          <w:p>
            <w:pPr>
              <w:spacing w:after="40"/>
            </w:pPr>
            <w:r>
              <w:rPr>
                <w:rFonts w:ascii="Calibri" w:hAnsi="Calibri" w:cs="Calibri" w:eastAsia="Calibri"/>
                <w:sz w:val="22"/>
              </w:rPr>
              <w:t>08 October 2026</w:t>
            </w:r>
          </w:p>
        </w:tc>
      </w:tr>
      <w:tr>
        <w:tc>
          <w:tcPr>
            <w:tcW w:type="dxa" w:w="4514"/>
          </w:tcPr>
          <w:p>
            <w:pPr>
              <w:spacing w:after="40"/>
            </w:pPr>
            <w:r>
              <w:rPr>
                <w:rFonts w:ascii="Calibri" w:hAnsi="Calibri" w:cs="Calibri" w:eastAsia="Calibri"/>
                <w:sz w:val="22"/>
              </w:rPr>
              <w:t>Team ID</w:t>
            </w:r>
          </w:p>
        </w:tc>
        <w:tc>
          <w:tcPr>
            <w:tcW w:type="dxa" w:w="4514"/>
          </w:tcPr>
          <w:p>
            <w:pPr>
              <w:spacing w:after="40"/>
            </w:pPr>
            <w:r>
              <w:rPr>
                <w:rFonts w:ascii="Calibri" w:hAnsi="Calibri" w:cs="Calibri" w:eastAsia="Calibri"/>
                <w:sz w:val="22"/>
              </w:rPr>
              <w:t>[TEAM ID]</w:t>
            </w:r>
          </w:p>
        </w:tc>
      </w:tr>
      <w:tr>
        <w:tc>
          <w:tcPr>
            <w:tcW w:type="dxa" w:w="4514"/>
          </w:tcPr>
          <w:p>
            <w:pPr>
              <w:spacing w:after="40"/>
            </w:pPr>
            <w:r>
              <w:rPr>
                <w:rFonts w:ascii="Calibri" w:hAnsi="Calibri" w:cs="Calibri" w:eastAsia="Calibri"/>
                <w:sz w:val="22"/>
              </w:rPr>
              <w:t>Project Name</w:t>
            </w:r>
          </w:p>
        </w:tc>
        <w:tc>
          <w:tcPr>
            <w:tcW w:type="dxa" w:w="4514"/>
          </w:tcPr>
          <w:p>
            <w:pPr>
              <w:spacing w:after="40"/>
            </w:pPr>
            <w:r>
              <w:rPr>
                <w:rFonts w:ascii="Calibri" w:hAnsi="Calibri" w:cs="Calibri" w:eastAsia="Calibri"/>
                <w:sz w:val="22"/>
              </w:rPr>
              <w:t>Auto Ticket Classification Using ServiceNow Flow Designer</w:t>
            </w:r>
          </w:p>
        </w:tc>
      </w:tr>
      <w:tr>
        <w:tc>
          <w:tcPr>
            <w:tcW w:type="dxa" w:w="4514"/>
          </w:tcPr>
          <w:p>
            <w:pPr>
              <w:spacing w:after="40"/>
            </w:pPr>
            <w:r>
              <w:rPr>
                <w:rFonts w:ascii="Calibri" w:hAnsi="Calibri" w:cs="Calibri" w:eastAsia="Calibri"/>
                <w:sz w:val="22"/>
              </w:rPr>
              <w:t>Maximum Marks</w:t>
            </w:r>
          </w:p>
        </w:tc>
        <w:tc>
          <w:tcPr>
            <w:tcW w:type="dxa" w:w="4514"/>
          </w:tcPr>
          <w:p>
            <w:pPr>
              <w:spacing w:after="40"/>
            </w:pPr>
            <w:r>
              <w:rPr>
                <w:rFonts w:ascii="Calibri" w:hAnsi="Calibri" w:cs="Calibri" w:eastAsia="Calibri"/>
                <w:sz w:val="22"/>
              </w:rPr>
              <w:t>4 Marks</w:t>
            </w:r>
          </w:p>
        </w:tc>
      </w:tr>
    </w:tbl>
    <w:p>
      <w:pPr>
        <w:spacing w:after="80"/>
      </w:pPr>
    </w:p>
    <w:p>
      <w:r>
        <w:rPr>
          <w:rFonts w:ascii="Calibri" w:hAnsi="Calibri" w:cs="Calibri" w:eastAsia="Calibri"/>
          <w:b/>
          <w:i w:val="0"/>
          <w:sz w:val="24"/>
        </w:rPr>
        <w:t>Empathy Map Canvas:</w:t>
      </w:r>
    </w:p>
    <w:p>
      <w:pPr>
        <w:jc w:val="both"/>
      </w:pPr>
      <w:r>
        <w:rPr>
          <w:rFonts w:ascii="Calibri" w:hAnsi="Calibri" w:cs="Calibri" w:eastAsia="Calibri"/>
          <w:b w:val="0"/>
          <w:i w:val="0"/>
          <w:color w:val="2A2A2A"/>
          <w:sz w:val="24"/>
        </w:rPr>
        <w:t>An empathy map is a simple, easy-to-digest visual that captures knowledge about a user’s behaviours and attitudes.</w:t>
      </w:r>
    </w:p>
    <w:p>
      <w:pPr>
        <w:jc w:val="both"/>
      </w:pPr>
      <w:r>
        <w:rPr>
          <w:rFonts w:ascii="Calibri" w:hAnsi="Calibri" w:cs="Calibri" w:eastAsia="Calibri"/>
          <w:b w:val="0"/>
          <w:i w:val="0"/>
          <w:color w:val="2A2A2A"/>
          <w:sz w:val="24"/>
        </w:rPr>
        <w:t>It is a useful tool to help teams better understand their users.</w:t>
      </w:r>
    </w:p>
    <w:p>
      <w:pPr>
        <w:jc w:val="both"/>
      </w:pPr>
      <w:r>
        <w:rPr>
          <w:rFonts w:ascii="Calibri" w:hAnsi="Calibri" w:cs="Calibri" w:eastAsia="Calibri"/>
          <w:b w:val="0"/>
          <w:i w:val="0"/>
          <w:color w:val="2A2A2A"/>
          <w:sz w:val="24"/>
        </w:rPr>
        <w:t>For this project, the empathy map captures how students and teachers experience IT problems and ticket submission, and how IT helpdesk staff experience the manual categorisation of those tickets. The findings guide the decision to automate classification of tickets in the School IT Ticket table using ServiceNow Flow Designer.</w:t>
      </w:r>
    </w:p>
    <w:p>
      <w:pPr>
        <w:spacing w:before="120"/>
      </w:pPr>
      <w:r>
        <w:rPr>
          <w:rFonts w:ascii="Calibri" w:hAnsi="Calibri" w:cs="Calibri" w:eastAsia="Calibri"/>
          <w:b/>
          <w:i w:val="0"/>
          <w:color w:val="2A2A2A"/>
          <w:sz w:val="24"/>
        </w:rPr>
        <w:t>Empathy Map: Student / Teacher (Ticket Caller)</w:t>
      </w:r>
    </w:p>
    <w:p>
      <w:pPr>
        <w:spacing w:after="80" w:before="8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4"/>
        <w:gridCol w:w="4514"/>
      </w:tblGrid>
      <w:tr>
        <w:tc>
          <w:tcPr>
            <w:tcW w:type="dxa" w:w="4514"/>
            <w:shd w:val="clear" w:color="auto" w:fill="D9D9D9"/>
          </w:tcPr>
          <w:p>
            <w:pPr>
              <w:spacing w:after="40"/>
              <w:jc w:val="center"/>
            </w:pPr>
            <w:r>
              <w:rPr>
                <w:rFonts w:ascii="Calibri" w:hAnsi="Calibri" w:cs="Calibri" w:eastAsia="Calibri"/>
                <w:b/>
                <w:sz w:val="22"/>
              </w:rPr>
              <w:t>SAYS</w:t>
            </w:r>
          </w:p>
        </w:tc>
        <w:tc>
          <w:tcPr>
            <w:tcW w:type="dxa" w:w="4514"/>
            <w:shd w:val="clear" w:color="auto" w:fill="D9D9D9"/>
          </w:tcPr>
          <w:p>
            <w:pPr>
              <w:spacing w:after="40"/>
              <w:jc w:val="center"/>
            </w:pPr>
            <w:r>
              <w:rPr>
                <w:rFonts w:ascii="Calibri" w:hAnsi="Calibri" w:cs="Calibri" w:eastAsia="Calibri"/>
                <w:b/>
                <w:sz w:val="22"/>
              </w:rPr>
              <w:t>THINKS</w:t>
            </w:r>
          </w:p>
        </w:tc>
      </w:tr>
      <w:tr>
        <w:tc>
          <w:tcPr>
            <w:tcW w:type="dxa" w:w="4514"/>
          </w:tcPr>
          <w:p>
            <w:pPr>
              <w:spacing w:after="40"/>
            </w:pPr>
            <w:r>
              <w:rPr>
                <w:rFonts w:ascii="Calibri" w:hAnsi="Calibri" w:cs="Calibri" w:eastAsia="Calibri"/>
                <w:sz w:val="22"/>
              </w:rPr>
              <w:t>• “My Wi-Fi is not connecting.”</w:t>
            </w:r>
          </w:p>
          <w:p>
            <w:pPr>
              <w:spacing w:after="40"/>
            </w:pPr>
            <w:r>
              <w:rPr>
                <w:rFonts w:ascii="Calibri" w:hAnsi="Calibri" w:cs="Calibri" w:eastAsia="Calibri"/>
                <w:sz w:val="22"/>
              </w:rPr>
              <w:t>• “The projector is not working in my class.”</w:t>
            </w:r>
          </w:p>
          <w:p>
            <w:pPr>
              <w:spacing w:after="40"/>
            </w:pPr>
            <w:r>
              <w:rPr>
                <w:rFonts w:ascii="Calibri" w:hAnsi="Calibri" w:cs="Calibri" w:eastAsia="Calibri"/>
                <w:sz w:val="22"/>
              </w:rPr>
              <w:t>• “I forgot my password and cannot log in.”</w:t>
            </w:r>
          </w:p>
          <w:p>
            <w:pPr>
              <w:spacing w:after="40"/>
            </w:pPr>
            <w:r>
              <w:rPr>
                <w:rFonts w:ascii="Calibri" w:hAnsi="Calibri" w:cs="Calibri" w:eastAsia="Calibri"/>
                <w:sz w:val="22"/>
              </w:rPr>
              <w:t>• “Has my request been received?”</w:t>
            </w:r>
          </w:p>
        </w:tc>
        <w:tc>
          <w:tcPr>
            <w:tcW w:type="dxa" w:w="4514"/>
          </w:tcPr>
          <w:p>
            <w:pPr>
              <w:spacing w:after="40"/>
            </w:pPr>
            <w:r>
              <w:rPr>
                <w:rFonts w:ascii="Calibri" w:hAnsi="Calibri" w:cs="Calibri" w:eastAsia="Calibri"/>
                <w:sz w:val="22"/>
              </w:rPr>
              <w:t>• I only want the problem fixed quickly.</w:t>
            </w:r>
          </w:p>
          <w:p>
            <w:pPr>
              <w:spacing w:after="40"/>
            </w:pPr>
            <w:r>
              <w:rPr>
                <w:rFonts w:ascii="Calibri" w:hAnsi="Calibri" w:cs="Calibri" w:eastAsia="Calibri"/>
                <w:sz w:val="22"/>
              </w:rPr>
              <w:t>• I do not know which category my issue belongs to.</w:t>
            </w:r>
          </w:p>
          <w:p>
            <w:pPr>
              <w:spacing w:after="40"/>
            </w:pPr>
            <w:r>
              <w:rPr>
                <w:rFonts w:ascii="Calibri" w:hAnsi="Calibri" w:cs="Calibri" w:eastAsia="Calibri"/>
                <w:sz w:val="22"/>
              </w:rPr>
              <w:t>• Will anyone respond to my request?</w:t>
            </w:r>
          </w:p>
        </w:tc>
      </w:tr>
      <w:tr>
        <w:tc>
          <w:tcPr>
            <w:tcW w:type="dxa" w:w="4514"/>
            <w:shd w:val="clear" w:color="auto" w:fill="D9D9D9"/>
          </w:tcPr>
          <w:p>
            <w:pPr>
              <w:spacing w:after="40"/>
              <w:jc w:val="center"/>
            </w:pPr>
            <w:r>
              <w:rPr>
                <w:rFonts w:ascii="Calibri" w:hAnsi="Calibri" w:cs="Calibri" w:eastAsia="Calibri"/>
                <w:b/>
                <w:sz w:val="22"/>
              </w:rPr>
              <w:t>DOES</w:t>
            </w:r>
          </w:p>
        </w:tc>
        <w:tc>
          <w:tcPr>
            <w:tcW w:type="dxa" w:w="4514"/>
            <w:shd w:val="clear" w:color="auto" w:fill="D9D9D9"/>
          </w:tcPr>
          <w:p>
            <w:pPr>
              <w:spacing w:after="40"/>
              <w:jc w:val="center"/>
            </w:pPr>
            <w:r>
              <w:rPr>
                <w:rFonts w:ascii="Calibri" w:hAnsi="Calibri" w:cs="Calibri" w:eastAsia="Calibri"/>
                <w:b/>
                <w:sz w:val="22"/>
              </w:rPr>
              <w:t>FEELS</w:t>
            </w:r>
          </w:p>
        </w:tc>
      </w:tr>
      <w:tr>
        <w:tc>
          <w:tcPr>
            <w:tcW w:type="dxa" w:w="4514"/>
          </w:tcPr>
          <w:p>
            <w:pPr>
              <w:spacing w:after="40"/>
            </w:pPr>
            <w:r>
              <w:rPr>
                <w:rFonts w:ascii="Calibri" w:hAnsi="Calibri" w:cs="Calibri" w:eastAsia="Calibri"/>
                <w:sz w:val="22"/>
              </w:rPr>
              <w:t>• Raises a ticket describing the problem in a few words.</w:t>
            </w:r>
          </w:p>
          <w:p>
            <w:pPr>
              <w:spacing w:after="40"/>
            </w:pPr>
            <w:r>
              <w:rPr>
                <w:rFonts w:ascii="Calibri" w:hAnsi="Calibri" w:cs="Calibri" w:eastAsia="Calibri"/>
                <w:sz w:val="22"/>
              </w:rPr>
              <w:t>• Selects a category by guess or leaves it blank.</w:t>
            </w:r>
          </w:p>
          <w:p>
            <w:pPr>
              <w:spacing w:after="40"/>
            </w:pPr>
            <w:r>
              <w:rPr>
                <w:rFonts w:ascii="Calibri" w:hAnsi="Calibri" w:cs="Calibri" w:eastAsia="Calibri"/>
                <w:sz w:val="22"/>
              </w:rPr>
              <w:t>• Waits or contacts the IT office in person for an update.</w:t>
            </w:r>
          </w:p>
        </w:tc>
        <w:tc>
          <w:tcPr>
            <w:tcW w:type="dxa" w:w="4514"/>
          </w:tcPr>
          <w:p>
            <w:pPr>
              <w:spacing w:after="40"/>
            </w:pPr>
            <w:r>
              <w:rPr>
                <w:rFonts w:ascii="Calibri" w:hAnsi="Calibri" w:cs="Calibri" w:eastAsia="Calibri"/>
                <w:sz w:val="22"/>
              </w:rPr>
              <w:t>• Frustrated when classroom work is interrupted.</w:t>
            </w:r>
          </w:p>
          <w:p>
            <w:pPr>
              <w:spacing w:after="40"/>
            </w:pPr>
            <w:r>
              <w:rPr>
                <w:rFonts w:ascii="Calibri" w:hAnsi="Calibri" w:cs="Calibri" w:eastAsia="Calibri"/>
                <w:sz w:val="22"/>
              </w:rPr>
              <w:t>• Uncertain about whether the ticket was received.</w:t>
            </w:r>
          </w:p>
          <w:p>
            <w:pPr>
              <w:spacing w:after="40"/>
            </w:pPr>
            <w:r>
              <w:rPr>
                <w:rFonts w:ascii="Calibri" w:hAnsi="Calibri" w:cs="Calibri" w:eastAsia="Calibri"/>
                <w:sz w:val="22"/>
              </w:rPr>
              <w:t>• Relieved when an acknowledgement arrives.</w:t>
            </w:r>
          </w:p>
        </w:tc>
      </w:tr>
    </w:tbl>
    <w:p>
      <w:pPr>
        <w:spacing w:after="4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4"/>
        <w:gridCol w:w="4514"/>
      </w:tblGrid>
      <w:tr>
        <w:tc>
          <w:tcPr>
            <w:tcW w:type="dxa" w:w="4514"/>
            <w:shd w:val="clear" w:color="auto" w:fill="D9D9D9"/>
          </w:tcPr>
          <w:p>
            <w:pPr>
              <w:spacing w:after="40"/>
              <w:jc w:val="center"/>
            </w:pPr>
            <w:r>
              <w:rPr>
                <w:rFonts w:ascii="Calibri" w:hAnsi="Calibri" w:cs="Calibri" w:eastAsia="Calibri"/>
                <w:b/>
                <w:sz w:val="22"/>
              </w:rPr>
              <w:t>PAIN</w:t>
            </w:r>
          </w:p>
        </w:tc>
        <w:tc>
          <w:tcPr>
            <w:tcW w:type="dxa" w:w="4514"/>
            <w:shd w:val="clear" w:color="auto" w:fill="D9D9D9"/>
          </w:tcPr>
          <w:p>
            <w:pPr>
              <w:spacing w:after="40"/>
              <w:jc w:val="center"/>
            </w:pPr>
            <w:r>
              <w:rPr>
                <w:rFonts w:ascii="Calibri" w:hAnsi="Calibri" w:cs="Calibri" w:eastAsia="Calibri"/>
                <w:b/>
                <w:sz w:val="22"/>
              </w:rPr>
              <w:t>GAIN</w:t>
            </w:r>
          </w:p>
        </w:tc>
      </w:tr>
      <w:tr>
        <w:tc>
          <w:tcPr>
            <w:tcW w:type="dxa" w:w="4514"/>
          </w:tcPr>
          <w:p>
            <w:pPr>
              <w:spacing w:after="40"/>
            </w:pPr>
            <w:r>
              <w:rPr>
                <w:rFonts w:ascii="Calibri" w:hAnsi="Calibri" w:cs="Calibri" w:eastAsia="Calibri"/>
                <w:sz w:val="22"/>
              </w:rPr>
              <w:t>• Must choose Category and Subcategory without technical knowledge.</w:t>
            </w:r>
          </w:p>
          <w:p>
            <w:pPr>
              <w:spacing w:after="40"/>
            </w:pPr>
            <w:r>
              <w:rPr>
                <w:rFonts w:ascii="Calibri" w:hAnsi="Calibri" w:cs="Calibri" w:eastAsia="Calibri"/>
                <w:sz w:val="22"/>
              </w:rPr>
              <w:t>• No immediate confirmation that the ticket was logged.</w:t>
            </w:r>
          </w:p>
          <w:p>
            <w:pPr>
              <w:spacing w:after="40"/>
            </w:pPr>
            <w:r>
              <w:rPr>
                <w:rFonts w:ascii="Calibri" w:hAnsi="Calibri" w:cs="Calibri" w:eastAsia="Calibri"/>
                <w:sz w:val="22"/>
              </w:rPr>
              <w:t>• Delay when a ticket is routed under the wrong category.</w:t>
            </w:r>
          </w:p>
        </w:tc>
        <w:tc>
          <w:tcPr>
            <w:tcW w:type="dxa" w:w="4514"/>
          </w:tcPr>
          <w:p>
            <w:pPr>
              <w:spacing w:after="40"/>
            </w:pPr>
            <w:r>
              <w:rPr>
                <w:rFonts w:ascii="Calibri" w:hAnsi="Calibri" w:cs="Calibri" w:eastAsia="Calibri"/>
                <w:sz w:val="22"/>
              </w:rPr>
              <w:t>• Only the Caller and Short Description need to be entered.</w:t>
            </w:r>
          </w:p>
          <w:p>
            <w:pPr>
              <w:spacing w:after="40"/>
            </w:pPr>
            <w:r>
              <w:rPr>
                <w:rFonts w:ascii="Calibri" w:hAnsi="Calibri" w:cs="Calibri" w:eastAsia="Calibri"/>
                <w:sz w:val="22"/>
              </w:rPr>
              <w:t>• Automatic classification and an email acknowledgement on ticket creation.</w:t>
            </w:r>
          </w:p>
          <w:p>
            <w:pPr>
              <w:spacing w:after="40"/>
            </w:pPr>
            <w:r>
              <w:rPr>
                <w:rFonts w:ascii="Calibri" w:hAnsi="Calibri" w:cs="Calibri" w:eastAsia="Calibri"/>
                <w:sz w:val="22"/>
              </w:rPr>
              <w:t>• Faster and more consistent handling of the request.</w:t>
            </w:r>
          </w:p>
        </w:tc>
      </w:tr>
    </w:tbl>
    <w:p>
      <w:pPr>
        <w:spacing w:after="120"/>
      </w:pPr>
    </w:p>
    <w:p>
      <w:r>
        <w:rPr>
          <w:rFonts w:ascii="Calibri" w:hAnsi="Calibri" w:cs="Calibri" w:eastAsia="Calibri"/>
          <w:b w:val="0"/>
          <w:i w:val="0"/>
          <w:sz w:val="24"/>
        </w:rPr>
        <w:t>Reference: https://www.mural.co/templates/empathy-map-canvas</w:t>
      </w:r>
    </w:p>
    <w:p>
      <w:pPr>
        <w:keepNext/>
        <w:spacing w:before="120"/>
      </w:pPr>
      <w:r>
        <w:rPr>
          <w:rFonts w:ascii="Calibri" w:hAnsi="Calibri" w:cs="Calibri" w:eastAsia="Calibri"/>
          <w:b/>
          <w:i w:val="0"/>
          <w:color w:val="2A2A2A"/>
          <w:sz w:val="24"/>
        </w:rPr>
        <w:t>Example: School IT Helpdesk Ticket Handling (IT Helpdesk Staff)</w:t>
      </w:r>
    </w:p>
    <w:p>
      <w:pPr>
        <w:spacing w:after="80" w:before="8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4"/>
        <w:gridCol w:w="4514"/>
      </w:tblGrid>
      <w:tr>
        <w:tc>
          <w:tcPr>
            <w:tcW w:type="dxa" w:w="4514"/>
            <w:shd w:val="clear" w:color="auto" w:fill="D9D9D9"/>
          </w:tcPr>
          <w:p>
            <w:pPr>
              <w:spacing w:after="40"/>
              <w:jc w:val="center"/>
            </w:pPr>
            <w:r>
              <w:rPr>
                <w:rFonts w:ascii="Calibri" w:hAnsi="Calibri" w:cs="Calibri" w:eastAsia="Calibri"/>
                <w:b/>
                <w:sz w:val="22"/>
              </w:rPr>
              <w:t>SAYS</w:t>
            </w:r>
          </w:p>
        </w:tc>
        <w:tc>
          <w:tcPr>
            <w:tcW w:type="dxa" w:w="4514"/>
            <w:shd w:val="clear" w:color="auto" w:fill="D9D9D9"/>
          </w:tcPr>
          <w:p>
            <w:pPr>
              <w:spacing w:after="40"/>
              <w:jc w:val="center"/>
            </w:pPr>
            <w:r>
              <w:rPr>
                <w:rFonts w:ascii="Calibri" w:hAnsi="Calibri" w:cs="Calibri" w:eastAsia="Calibri"/>
                <w:b/>
                <w:sz w:val="22"/>
              </w:rPr>
              <w:t>THINKS</w:t>
            </w:r>
          </w:p>
        </w:tc>
      </w:tr>
      <w:tr>
        <w:tc>
          <w:tcPr>
            <w:tcW w:type="dxa" w:w="4514"/>
          </w:tcPr>
          <w:p>
            <w:pPr>
              <w:spacing w:after="40"/>
            </w:pPr>
            <w:r>
              <w:rPr>
                <w:rFonts w:ascii="Calibri" w:hAnsi="Calibri" w:cs="Calibri" w:eastAsia="Calibri"/>
                <w:sz w:val="22"/>
              </w:rPr>
              <w:t>• “This ticket should be under Network.”</w:t>
            </w:r>
          </w:p>
          <w:p>
            <w:pPr>
              <w:spacing w:after="40"/>
            </w:pPr>
            <w:r>
              <w:rPr>
                <w:rFonts w:ascii="Calibri" w:hAnsi="Calibri" w:cs="Calibri" w:eastAsia="Calibri"/>
                <w:sz w:val="22"/>
              </w:rPr>
              <w:t>• “Many tickets are logged under the wrong category.”</w:t>
            </w:r>
          </w:p>
          <w:p>
            <w:pPr>
              <w:spacing w:after="40"/>
            </w:pPr>
            <w:r>
              <w:rPr>
                <w:rFonts w:ascii="Calibri" w:hAnsi="Calibri" w:cs="Calibri" w:eastAsia="Calibri"/>
                <w:sz w:val="22"/>
              </w:rPr>
              <w:t>• “We spend too much time sorting tickets.”</w:t>
            </w:r>
          </w:p>
        </w:tc>
        <w:tc>
          <w:tcPr>
            <w:tcW w:type="dxa" w:w="4514"/>
          </w:tcPr>
          <w:p>
            <w:pPr>
              <w:spacing w:after="40"/>
            </w:pPr>
            <w:r>
              <w:rPr>
                <w:rFonts w:ascii="Calibri" w:hAnsi="Calibri" w:cs="Calibri" w:eastAsia="Calibri"/>
                <w:sz w:val="22"/>
              </w:rPr>
              <w:t>• Manual classification is repetitive and avoidable.</w:t>
            </w:r>
          </w:p>
          <w:p>
            <w:pPr>
              <w:spacing w:after="40"/>
            </w:pPr>
            <w:r>
              <w:rPr>
                <w:rFonts w:ascii="Calibri" w:hAnsi="Calibri" w:cs="Calibri" w:eastAsia="Calibri"/>
                <w:sz w:val="22"/>
              </w:rPr>
              <w:t>• Inconsistent categories make tickets hard to track.</w:t>
            </w:r>
          </w:p>
          <w:p>
            <w:pPr>
              <w:spacing w:after="40"/>
            </w:pPr>
            <w:r>
              <w:rPr>
                <w:rFonts w:ascii="Calibri" w:hAnsi="Calibri" w:cs="Calibri" w:eastAsia="Calibri"/>
                <w:sz w:val="22"/>
              </w:rPr>
              <w:t>• Rules for common issues can be automated.</w:t>
            </w:r>
          </w:p>
        </w:tc>
      </w:tr>
      <w:tr>
        <w:tc>
          <w:tcPr>
            <w:tcW w:type="dxa" w:w="4514"/>
            <w:shd w:val="clear" w:color="auto" w:fill="D9D9D9"/>
          </w:tcPr>
          <w:p>
            <w:pPr>
              <w:spacing w:after="40"/>
              <w:jc w:val="center"/>
            </w:pPr>
            <w:r>
              <w:rPr>
                <w:rFonts w:ascii="Calibri" w:hAnsi="Calibri" w:cs="Calibri" w:eastAsia="Calibri"/>
                <w:b/>
                <w:sz w:val="22"/>
              </w:rPr>
              <w:t>DOES</w:t>
            </w:r>
          </w:p>
        </w:tc>
        <w:tc>
          <w:tcPr>
            <w:tcW w:type="dxa" w:w="4514"/>
            <w:shd w:val="clear" w:color="auto" w:fill="D9D9D9"/>
          </w:tcPr>
          <w:p>
            <w:pPr>
              <w:spacing w:after="40"/>
              <w:jc w:val="center"/>
            </w:pPr>
            <w:r>
              <w:rPr>
                <w:rFonts w:ascii="Calibri" w:hAnsi="Calibri" w:cs="Calibri" w:eastAsia="Calibri"/>
                <w:b/>
                <w:sz w:val="22"/>
              </w:rPr>
              <w:t>FEELS</w:t>
            </w:r>
          </w:p>
        </w:tc>
      </w:tr>
      <w:tr>
        <w:tc>
          <w:tcPr>
            <w:tcW w:type="dxa" w:w="4514"/>
          </w:tcPr>
          <w:p>
            <w:pPr>
              <w:spacing w:after="40"/>
            </w:pPr>
            <w:r>
              <w:rPr>
                <w:rFonts w:ascii="Calibri" w:hAnsi="Calibri" w:cs="Calibri" w:eastAsia="Calibri"/>
                <w:sz w:val="22"/>
              </w:rPr>
              <w:t>• Reads every new ticket and assigns Category and Subcategory manually.</w:t>
            </w:r>
          </w:p>
          <w:p>
            <w:pPr>
              <w:spacing w:after="40"/>
            </w:pPr>
            <w:r>
              <w:rPr>
                <w:rFonts w:ascii="Calibri" w:hAnsi="Calibri" w:cs="Calibri" w:eastAsia="Calibri"/>
                <w:sz w:val="22"/>
              </w:rPr>
              <w:t>• Corrects categories entered incorrectly by callers.</w:t>
            </w:r>
          </w:p>
          <w:p>
            <w:pPr>
              <w:spacing w:after="40"/>
            </w:pPr>
            <w:r>
              <w:rPr>
                <w:rFonts w:ascii="Calibri" w:hAnsi="Calibri" w:cs="Calibri" w:eastAsia="Calibri"/>
                <w:sz w:val="22"/>
              </w:rPr>
              <w:t>• Assigns the ticket to the right support group.</w:t>
            </w:r>
          </w:p>
        </w:tc>
        <w:tc>
          <w:tcPr>
            <w:tcW w:type="dxa" w:w="4514"/>
          </w:tcPr>
          <w:p>
            <w:pPr>
              <w:spacing w:after="40"/>
            </w:pPr>
            <w:r>
              <w:rPr>
                <w:rFonts w:ascii="Calibri" w:hAnsi="Calibri" w:cs="Calibri" w:eastAsia="Calibri"/>
                <w:sz w:val="22"/>
              </w:rPr>
              <w:t>• Overloaded during busy hours.</w:t>
            </w:r>
          </w:p>
          <w:p>
            <w:pPr>
              <w:spacing w:after="40"/>
            </w:pPr>
            <w:r>
              <w:rPr>
                <w:rFonts w:ascii="Calibri" w:hAnsi="Calibri" w:cs="Calibri" w:eastAsia="Calibri"/>
                <w:sz w:val="22"/>
              </w:rPr>
              <w:t>• Concerned about inconsistent records.</w:t>
            </w:r>
          </w:p>
          <w:p>
            <w:pPr>
              <w:spacing w:after="40"/>
            </w:pPr>
            <w:r>
              <w:rPr>
                <w:rFonts w:ascii="Calibri" w:hAnsi="Calibri" w:cs="Calibri" w:eastAsia="Calibri"/>
                <w:sz w:val="22"/>
              </w:rPr>
              <w:t>• Confident when routine work is automated.</w:t>
            </w:r>
          </w:p>
        </w:tc>
      </w:tr>
    </w:tbl>
    <w:p>
      <w:pPr>
        <w:spacing w:after="4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4"/>
        <w:gridCol w:w="4514"/>
      </w:tblGrid>
      <w:tr>
        <w:tc>
          <w:tcPr>
            <w:tcW w:type="dxa" w:w="4514"/>
            <w:shd w:val="clear" w:color="auto" w:fill="D9D9D9"/>
          </w:tcPr>
          <w:p>
            <w:pPr>
              <w:spacing w:after="40"/>
              <w:jc w:val="center"/>
            </w:pPr>
            <w:r>
              <w:rPr>
                <w:rFonts w:ascii="Calibri" w:hAnsi="Calibri" w:cs="Calibri" w:eastAsia="Calibri"/>
                <w:b/>
                <w:sz w:val="22"/>
              </w:rPr>
              <w:t>PAIN</w:t>
            </w:r>
          </w:p>
        </w:tc>
        <w:tc>
          <w:tcPr>
            <w:tcW w:type="dxa" w:w="4514"/>
            <w:shd w:val="clear" w:color="auto" w:fill="D9D9D9"/>
          </w:tcPr>
          <w:p>
            <w:pPr>
              <w:spacing w:after="40"/>
              <w:jc w:val="center"/>
            </w:pPr>
            <w:r>
              <w:rPr>
                <w:rFonts w:ascii="Calibri" w:hAnsi="Calibri" w:cs="Calibri" w:eastAsia="Calibri"/>
                <w:b/>
                <w:sz w:val="22"/>
              </w:rPr>
              <w:t>GAIN</w:t>
            </w:r>
          </w:p>
        </w:tc>
      </w:tr>
      <w:tr>
        <w:tc>
          <w:tcPr>
            <w:tcW w:type="dxa" w:w="4514"/>
          </w:tcPr>
          <w:p>
            <w:pPr>
              <w:spacing w:after="40"/>
            </w:pPr>
            <w:r>
              <w:rPr>
                <w:rFonts w:ascii="Calibri" w:hAnsi="Calibri" w:cs="Calibri" w:eastAsia="Calibri"/>
                <w:sz w:val="22"/>
              </w:rPr>
              <w:t>• Time spent on classification instead of resolution.</w:t>
            </w:r>
          </w:p>
          <w:p>
            <w:pPr>
              <w:spacing w:after="40"/>
            </w:pPr>
            <w:r>
              <w:rPr>
                <w:rFonts w:ascii="Calibri" w:hAnsi="Calibri" w:cs="Calibri" w:eastAsia="Calibri"/>
                <w:sz w:val="22"/>
              </w:rPr>
              <w:t>• Inconsistent categories between different staff members.</w:t>
            </w:r>
          </w:p>
          <w:p>
            <w:pPr>
              <w:spacing w:after="40"/>
            </w:pPr>
            <w:r>
              <w:rPr>
                <w:rFonts w:ascii="Calibri" w:hAnsi="Calibri" w:cs="Calibri" w:eastAsia="Calibri"/>
                <w:sz w:val="22"/>
              </w:rPr>
              <w:t>• Repetitive keyword-based decisions made by hand.</w:t>
            </w:r>
          </w:p>
        </w:tc>
        <w:tc>
          <w:tcPr>
            <w:tcW w:type="dxa" w:w="4514"/>
          </w:tcPr>
          <w:p>
            <w:pPr>
              <w:spacing w:after="40"/>
            </w:pPr>
            <w:r>
              <w:rPr>
                <w:rFonts w:ascii="Calibri" w:hAnsi="Calibri" w:cs="Calibri" w:eastAsia="Calibri"/>
                <w:sz w:val="22"/>
              </w:rPr>
              <w:t>• Tickets arrive already classified.</w:t>
            </w:r>
          </w:p>
          <w:p>
            <w:pPr>
              <w:spacing w:after="40"/>
            </w:pPr>
            <w:r>
              <w:rPr>
                <w:rFonts w:ascii="Calibri" w:hAnsi="Calibri" w:cs="Calibri" w:eastAsia="Calibri"/>
                <w:sz w:val="22"/>
              </w:rPr>
              <w:t>• Consistent categories across all tickets.</w:t>
            </w:r>
          </w:p>
          <w:p>
            <w:pPr>
              <w:spacing w:after="40"/>
            </w:pPr>
            <w:r>
              <w:rPr>
                <w:rFonts w:ascii="Calibri" w:hAnsi="Calibri" w:cs="Calibri" w:eastAsia="Calibri"/>
                <w:sz w:val="22"/>
              </w:rPr>
              <w:t>• More time available for resolving issues.</w:t>
            </w:r>
          </w:p>
        </w:tc>
      </w:tr>
    </w:tbl>
    <w:p>
      <w:pPr>
        <w:spacing w:after="120"/>
      </w:pPr>
    </w:p>
    <w:sectPr w:rsidR="00FC693F" w:rsidRPr="0006063C" w:rsidSect="00034616">
      <w:pgSz w:w="11909" w:h="16834"/>
      <w:pgMar w:top="85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