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CORPORATION</w:t>
      </w:r>
    </w:p>
    <w:p>
      <w:pPr>
        <w:pStyle w:val="Heading1"/>
      </w:pPr>
      <w:r>
        <w:t>POLICY AMENDMENT: CASUAL LEAVE REVISION (VERSION 2.0)</w:t>
      </w:r>
    </w:p>
    <w:p>
      <w:r>
        <w:t>Published: March 10, 2025</w:t>
      </w:r>
    </w:p>
    <w:p>
      <w:r>
        <w:t>Status: Executive Draft / Pending Board Ratification</w:t>
      </w:r>
    </w:p>
    <w:p>
      <w:r>
        <w:t>Authority: Proposed Amendment</w:t>
      </w:r>
    </w:p>
    <w:p>
      <w:pPr>
        <w:pStyle w:val="Heading2"/>
      </w:pPr>
      <w:r>
        <w:t>Section 1: Purpose of Amendment</w:t>
      </w:r>
    </w:p>
    <w:p>
      <w:r>
        <w:t>This amendment proposes an enhancement to workplace flexibility and personal well-being entitlements for all staff.</w:t>
      </w:r>
    </w:p>
    <w:p>
      <w:pPr>
        <w:pStyle w:val="Heading2"/>
      </w:pPr>
      <w:r>
        <w:t>Section 2: Revised Casual Leave Entitlement</w:t>
      </w:r>
    </w:p>
    <w:p>
      <w:r>
        <w:t>Employees are entitled to 15 casual leave days per year.</w:t>
      </w:r>
    </w:p>
    <w:p>
      <w:pPr>
        <w:pStyle w:val="Heading2"/>
      </w:pPr>
      <w:r>
        <w:t>Section 3: Effective Date and Governance Note</w:t>
      </w:r>
    </w:p>
    <w:p>
      <w:r>
        <w:t>This amendment is scheduled to supersede Leave Policy v1.0 contingent upon final Board of Directors sign-off on April 1, 2025. Until official corporate broadcast, previous active entitlements remain under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