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0A92" w:rsidRDefault="008D17B4">
      <w:pPr>
        <w:spacing w:after="40" w:line="240" w:lineRule="auto"/>
        <w:jc w:val="center"/>
      </w:pPr>
      <w:r>
        <w:rPr>
          <w:b/>
          <w:sz w:val="30"/>
        </w:rPr>
        <w:t>SIMATS ENGINEERING</w:t>
      </w:r>
    </w:p>
    <w:p w:rsidR="004A0A92" w:rsidRDefault="008D17B4">
      <w:pPr>
        <w:spacing w:after="40" w:line="240" w:lineRule="auto"/>
        <w:jc w:val="center"/>
      </w:pPr>
      <w:r>
        <w:rPr>
          <w:b/>
          <w:sz w:val="24"/>
        </w:rPr>
        <w:t>ASSESSMENT TOOL 1: Analytical Problem Solving</w:t>
      </w:r>
    </w:p>
    <w:p w:rsidR="004A0A92" w:rsidRDefault="004A0A92">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4A0A92">
        <w:tc>
          <w:tcPr>
            <w:tcW w:w="2560" w:type="dxa"/>
          </w:tcPr>
          <w:p w:rsidR="004A0A92" w:rsidRDefault="008D17B4">
            <w:r>
              <w:rPr>
                <w:b/>
                <w:sz w:val="23"/>
              </w:rPr>
              <w:t>COURSE NAME:</w:t>
            </w:r>
          </w:p>
        </w:tc>
        <w:tc>
          <w:tcPr>
            <w:tcW w:w="2560" w:type="dxa"/>
          </w:tcPr>
          <w:p w:rsidR="004A0A92" w:rsidRDefault="008D17B4">
            <w:r>
              <w:rPr>
                <w:sz w:val="23"/>
              </w:rPr>
              <w:t>Cloud Computing and Big Data Analytics</w:t>
            </w:r>
          </w:p>
        </w:tc>
        <w:tc>
          <w:tcPr>
            <w:tcW w:w="2560" w:type="dxa"/>
          </w:tcPr>
          <w:p w:rsidR="004A0A92" w:rsidRDefault="008D17B4">
            <w:r>
              <w:rPr>
                <w:b/>
                <w:sz w:val="23"/>
              </w:rPr>
              <w:t>COURSE CODE:</w:t>
            </w:r>
          </w:p>
        </w:tc>
        <w:tc>
          <w:tcPr>
            <w:tcW w:w="2560" w:type="dxa"/>
          </w:tcPr>
          <w:p w:rsidR="004A0A92" w:rsidRDefault="008D17B4">
            <w:r>
              <w:rPr>
                <w:sz w:val="23"/>
              </w:rPr>
              <w:t>CSA15</w:t>
            </w:r>
            <w:r w:rsidR="00181D99">
              <w:rPr>
                <w:sz w:val="23"/>
              </w:rPr>
              <w:t>06</w:t>
            </w:r>
            <w:bookmarkStart w:id="0" w:name="_GoBack"/>
            <w:bookmarkEnd w:id="0"/>
          </w:p>
        </w:tc>
      </w:tr>
    </w:tbl>
    <w:p w:rsidR="004A0A92" w:rsidRDefault="004A0A92"/>
    <w:p w:rsidR="004A0A92" w:rsidRDefault="004A0A92">
      <w:pPr>
        <w:pBdr>
          <w:bottom w:val="single" w:sz="6" w:space="1" w:color="A6A6A6"/>
        </w:pBdr>
        <w:spacing w:after="240"/>
      </w:pPr>
    </w:p>
    <w:p w:rsidR="004A0A92" w:rsidRDefault="008D17B4">
      <w:pPr>
        <w:spacing w:after="40" w:line="240" w:lineRule="auto"/>
      </w:pPr>
      <w:r>
        <w:rPr>
          <w:b/>
        </w:rPr>
        <w:t>COURSE OUTCOME COVERED</w:t>
      </w:r>
    </w:p>
    <w:p w:rsidR="004A0A92" w:rsidRDefault="008D17B4">
      <w:pPr>
        <w:spacing w:after="120"/>
      </w:pPr>
      <w:r>
        <w:rPr>
          <w:b/>
        </w:rPr>
        <w:t xml:space="preserve">CO2: </w:t>
      </w:r>
      <w:r>
        <w:rPr>
          <w:i/>
        </w:rPr>
        <w:t>Analyze virtualization architectures to identify performance and security issues in cloud computing environments.</w:t>
      </w:r>
      <w:r>
        <w:t xml:space="preserve"> (BL3)</w:t>
      </w:r>
    </w:p>
    <w:p w:rsidR="004A0A92" w:rsidRDefault="00585A9F">
      <w:pPr>
        <w:spacing w:after="40" w:line="240" w:lineRule="auto"/>
      </w:pPr>
      <w:r>
        <w:t>Assessment Tool Weightage: 4</w:t>
      </w:r>
      <w:r w:rsidR="008D17B4">
        <w:t>0%</w:t>
      </w:r>
    </w:p>
    <w:p w:rsidR="004A0A92" w:rsidRDefault="004A0A92">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4A0A92">
        <w:tc>
          <w:tcPr>
            <w:tcW w:w="5120" w:type="dxa"/>
          </w:tcPr>
          <w:p w:rsidR="004A0A92" w:rsidRDefault="008D17B4">
            <w:r>
              <w:t>Dave's Taxonomy: Manipulation (Level 2)</w:t>
            </w:r>
            <w:r>
              <w:br/>
              <w:t>Question Count: 5</w:t>
            </w:r>
          </w:p>
        </w:tc>
        <w:tc>
          <w:tcPr>
            <w:tcW w:w="5120" w:type="dxa"/>
          </w:tcPr>
          <w:p w:rsidR="004A0A92" w:rsidRDefault="008D17B4">
            <w:pPr>
              <w:jc w:val="right"/>
            </w:pPr>
            <w:r>
              <w:rPr>
                <w:b/>
              </w:rPr>
              <w:t>Total Marks: 50</w:t>
            </w:r>
          </w:p>
        </w:tc>
      </w:tr>
    </w:tbl>
    <w:p w:rsidR="004A0A92" w:rsidRDefault="004A0A92"/>
    <w:p w:rsidR="004A0A92" w:rsidRDefault="004A0A92">
      <w:pPr>
        <w:pBdr>
          <w:bottom w:val="single" w:sz="6" w:space="1" w:color="A6A6A6"/>
        </w:pBdr>
      </w:pPr>
    </w:p>
    <w:p w:rsidR="004A0A92" w:rsidRPr="00230D47" w:rsidRDefault="008D17B4" w:rsidP="00230D47">
      <w:pPr>
        <w:spacing w:after="40"/>
        <w:jc w:val="both"/>
        <w:rPr>
          <w:rFonts w:cs="Times New Roman"/>
          <w:color w:val="000000" w:themeColor="text1"/>
          <w:sz w:val="24"/>
          <w:szCs w:val="24"/>
        </w:rPr>
      </w:pPr>
      <w:r w:rsidRPr="00230D47">
        <w:rPr>
          <w:rFonts w:cs="Times New Roman"/>
          <w:b/>
          <w:color w:val="000000" w:themeColor="text1"/>
          <w:sz w:val="24"/>
          <w:szCs w:val="24"/>
        </w:rPr>
        <w:t>Code of Conduct</w:t>
      </w:r>
    </w:p>
    <w:p w:rsidR="004A0A92" w:rsidRPr="00230D47" w:rsidRDefault="008D17B4" w:rsidP="00230D47">
      <w:pPr>
        <w:spacing w:after="40"/>
        <w:jc w:val="both"/>
        <w:rPr>
          <w:rFonts w:cs="Times New Roman"/>
          <w:color w:val="000000" w:themeColor="text1"/>
          <w:sz w:val="24"/>
          <w:szCs w:val="24"/>
        </w:rPr>
      </w:pPr>
      <w:r w:rsidRPr="00230D47">
        <w:rPr>
          <w:rFonts w:cs="Times New Roman"/>
          <w:color w:val="000000" w:themeColor="text1"/>
          <w:sz w:val="24"/>
          <w:szCs w:val="24"/>
        </w:rPr>
        <w:t xml:space="preserve">I </w:t>
      </w:r>
      <w:r w:rsidR="00230D47" w:rsidRPr="00230D47">
        <w:rPr>
          <w:rFonts w:cs="Times New Roman"/>
          <w:color w:val="000000" w:themeColor="text1"/>
          <w:sz w:val="24"/>
          <w:szCs w:val="24"/>
          <w:u w:val="single"/>
        </w:rPr>
        <w:t>Logeshwaran R- 192511175</w:t>
      </w:r>
      <w:r w:rsidR="00230D47">
        <w:rPr>
          <w:rFonts w:cs="Times New Roman"/>
          <w:color w:val="000000" w:themeColor="text1"/>
          <w:sz w:val="24"/>
          <w:szCs w:val="24"/>
        </w:rPr>
        <w:t xml:space="preserve"> </w:t>
      </w:r>
      <w:r w:rsidRPr="00230D47">
        <w:rPr>
          <w:rFonts w:cs="Times New Roman"/>
          <w:color w:val="000000" w:themeColor="text1"/>
          <w:sz w:val="24"/>
          <w:szCs w:val="24"/>
        </w:rPr>
        <w:t xml:space="preserve">(Name / </w:t>
      </w:r>
      <w:proofErr w:type="spellStart"/>
      <w:r w:rsidRPr="00230D47">
        <w:rPr>
          <w:rFonts w:cs="Times New Roman"/>
          <w:color w:val="000000" w:themeColor="text1"/>
          <w:sz w:val="24"/>
          <w:szCs w:val="24"/>
        </w:rPr>
        <w:t>Reg</w:t>
      </w:r>
      <w:proofErr w:type="spellEnd"/>
      <w:r w:rsidRPr="00230D47">
        <w:rPr>
          <w:rFonts w:cs="Times New Roman"/>
          <w:color w:val="000000" w:themeColor="text1"/>
          <w:sz w:val="24"/>
          <w:szCs w:val="24"/>
        </w:rPr>
        <w:t xml:space="preserve"> No) certify that this submission is my original work and that I have adhered to the guidelines specified for this assessment.</w:t>
      </w:r>
    </w:p>
    <w:p w:rsidR="004A0A92" w:rsidRPr="00230D47" w:rsidRDefault="008D17B4" w:rsidP="00230D47">
      <w:pPr>
        <w:spacing w:after="40"/>
        <w:jc w:val="both"/>
        <w:rPr>
          <w:rFonts w:cs="Times New Roman"/>
          <w:color w:val="000000" w:themeColor="text1"/>
          <w:sz w:val="24"/>
          <w:szCs w:val="24"/>
        </w:rPr>
      </w:pPr>
      <w:r w:rsidRPr="00230D47">
        <w:rPr>
          <w:rFonts w:cs="Times New Roman"/>
          <w:color w:val="000000" w:themeColor="text1"/>
          <w:sz w:val="24"/>
          <w:szCs w:val="24"/>
        </w:rPr>
        <w:t>I understand that any violation of academic integrity rules will result in disciplinary action.</w:t>
      </w:r>
    </w:p>
    <w:p w:rsidR="00230D47" w:rsidRDefault="008D17B4" w:rsidP="00230D47">
      <w:pPr>
        <w:spacing w:after="40"/>
        <w:jc w:val="both"/>
        <w:rPr>
          <w:rFonts w:cs="Times New Roman"/>
          <w:noProof/>
          <w:color w:val="000000" w:themeColor="text1"/>
          <w:sz w:val="24"/>
          <w:szCs w:val="24"/>
          <w:lang w:val="en-IN" w:eastAsia="en-IN" w:bidi="ta-IN"/>
        </w:rPr>
      </w:pPr>
      <w:r w:rsidRPr="00230D47">
        <w:rPr>
          <w:rFonts w:cs="Times New Roman"/>
          <w:color w:val="000000" w:themeColor="text1"/>
          <w:sz w:val="24"/>
          <w:szCs w:val="24"/>
        </w:rPr>
        <w:t xml:space="preserve">Signature of the student: </w:t>
      </w:r>
      <w:r w:rsidR="00230D47">
        <w:rPr>
          <w:rFonts w:cs="Times New Roman"/>
          <w:noProof/>
          <w:color w:val="000000" w:themeColor="text1"/>
          <w:sz w:val="24"/>
          <w:szCs w:val="24"/>
          <w:lang w:val="en-IN" w:eastAsia="en-IN" w:bidi="ta-IN"/>
        </w:rPr>
        <w:drawing>
          <wp:inline distT="0" distB="0" distL="0" distR="0" wp14:anchorId="42967C03" wp14:editId="2220661E">
            <wp:extent cx="685800" cy="228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gnature.jpeg"/>
                    <pic:cNvPicPr/>
                  </pic:nvPicPr>
                  <pic:blipFill rotWithShape="1">
                    <a:blip r:embed="rId6">
                      <a:extLst>
                        <a:ext uri="{28A0092B-C50C-407E-A947-70E740481C1C}">
                          <a14:useLocalDpi xmlns:a14="http://schemas.microsoft.com/office/drawing/2010/main" val="0"/>
                        </a:ext>
                      </a:extLst>
                    </a:blip>
                    <a:srcRect l="30820" t="25043" r="26875" b="34184"/>
                    <a:stretch/>
                  </pic:blipFill>
                  <pic:spPr bwMode="auto">
                    <a:xfrm>
                      <a:off x="0" y="0"/>
                      <a:ext cx="685800" cy="228600"/>
                    </a:xfrm>
                    <a:prstGeom prst="rect">
                      <a:avLst/>
                    </a:prstGeom>
                    <a:ln>
                      <a:noFill/>
                    </a:ln>
                    <a:extLst>
                      <a:ext uri="{53640926-AAD7-44D8-BBD7-CCE9431645EC}">
                        <a14:shadowObscured xmlns:a14="http://schemas.microsoft.com/office/drawing/2010/main"/>
                      </a:ext>
                    </a:extLst>
                  </pic:spPr>
                </pic:pic>
              </a:graphicData>
            </a:graphic>
          </wp:inline>
        </w:drawing>
      </w:r>
    </w:p>
    <w:p w:rsidR="004A0A92" w:rsidRPr="00230D47" w:rsidRDefault="004A0A92" w:rsidP="00230D47">
      <w:pPr>
        <w:spacing w:after="40"/>
        <w:jc w:val="both"/>
        <w:rPr>
          <w:rFonts w:cs="Times New Roman"/>
          <w:color w:val="000000" w:themeColor="text1"/>
          <w:sz w:val="24"/>
          <w:szCs w:val="24"/>
        </w:rPr>
      </w:pPr>
    </w:p>
    <w:p w:rsidR="004A0A92" w:rsidRPr="00230D47" w:rsidRDefault="004A0A92" w:rsidP="00230D47">
      <w:pPr>
        <w:spacing w:after="40"/>
        <w:jc w:val="both"/>
        <w:rPr>
          <w:rFonts w:cs="Times New Roman"/>
          <w:color w:val="000000" w:themeColor="text1"/>
          <w:sz w:val="24"/>
          <w:szCs w:val="24"/>
        </w:rPr>
      </w:pPr>
    </w:p>
    <w:p w:rsidR="004A0A92" w:rsidRPr="00230D47" w:rsidRDefault="008D17B4" w:rsidP="00230D47">
      <w:pPr>
        <w:spacing w:after="40"/>
        <w:jc w:val="both"/>
        <w:rPr>
          <w:rFonts w:cs="Times New Roman"/>
          <w:color w:val="000000" w:themeColor="text1"/>
          <w:sz w:val="24"/>
          <w:szCs w:val="24"/>
        </w:rPr>
      </w:pPr>
      <w:r w:rsidRPr="00230D47">
        <w:rPr>
          <w:rFonts w:cs="Times New Roman"/>
          <w:b/>
          <w:color w:val="000000" w:themeColor="text1"/>
          <w:sz w:val="24"/>
          <w:szCs w:val="24"/>
        </w:rPr>
        <w:t>Assessment Tasks</w:t>
      </w:r>
    </w:p>
    <w:p w:rsidR="004A0A92" w:rsidRPr="00230D47" w:rsidRDefault="008D17B4" w:rsidP="00230D47">
      <w:pPr>
        <w:spacing w:after="40"/>
        <w:jc w:val="both"/>
        <w:rPr>
          <w:rFonts w:cs="Times New Roman"/>
          <w:color w:val="000000" w:themeColor="text1"/>
          <w:sz w:val="24"/>
          <w:szCs w:val="24"/>
        </w:rPr>
      </w:pPr>
      <w:r w:rsidRPr="00230D47">
        <w:rPr>
          <w:rFonts w:cs="Times New Roman"/>
          <w:b/>
          <w:color w:val="000000" w:themeColor="text1"/>
          <w:sz w:val="24"/>
          <w:szCs w:val="24"/>
        </w:rPr>
        <w:t>Analytical Problem Solving</w:t>
      </w:r>
    </w:p>
    <w:p w:rsidR="00230D47" w:rsidRPr="00230D47" w:rsidRDefault="008D17B4" w:rsidP="00230D47">
      <w:pPr>
        <w:pStyle w:val="ListNumber"/>
        <w:jc w:val="both"/>
        <w:rPr>
          <w:rFonts w:cs="Times New Roman"/>
          <w:color w:val="000000" w:themeColor="text1"/>
          <w:sz w:val="24"/>
          <w:szCs w:val="24"/>
        </w:rPr>
      </w:pPr>
      <w:r w:rsidRPr="00230D47">
        <w:rPr>
          <w:rFonts w:cs="Times New Roman"/>
          <w:color w:val="000000" w:themeColor="text1"/>
          <w:sz w:val="24"/>
          <w:szCs w:val="24"/>
        </w:rPr>
        <w:t>Compare Type-1 and Type-2 hypervisors for a cloud datacenter hosting mission-critical applications. Analyze performance, security, and manageability, then justify the better choice.</w:t>
      </w:r>
    </w:p>
    <w:p w:rsidR="00230D47" w:rsidRPr="00230D47" w:rsidRDefault="00230D47" w:rsidP="00230D47">
      <w:pPr>
        <w:pStyle w:val="ListNumber"/>
        <w:numPr>
          <w:ilvl w:val="0"/>
          <w:numId w:val="0"/>
        </w:numPr>
        <w:ind w:left="360"/>
        <w:jc w:val="both"/>
        <w:rPr>
          <w:rFonts w:cs="Times New Roman"/>
          <w:color w:val="000000" w:themeColor="text1"/>
          <w:sz w:val="24"/>
          <w:szCs w:val="24"/>
        </w:rPr>
      </w:pPr>
      <w:r w:rsidRPr="00230D47">
        <w:rPr>
          <w:rFonts w:cs="Times New Roman"/>
          <w:color w:val="000000" w:themeColor="text1"/>
          <w:sz w:val="24"/>
          <w:szCs w:val="24"/>
        </w:rPr>
        <w:t>Answers:</w:t>
      </w:r>
    </w:p>
    <w:p w:rsidR="00230D47" w:rsidRPr="00230D47" w:rsidRDefault="00230D47" w:rsidP="00230D47">
      <w:pPr>
        <w:spacing w:after="120"/>
        <w:jc w:val="both"/>
        <w:rPr>
          <w:rFonts w:cs="Times New Roman"/>
          <w:color w:val="000000" w:themeColor="text1"/>
          <w:sz w:val="24"/>
          <w:szCs w:val="24"/>
        </w:rPr>
      </w:pPr>
      <w:r w:rsidRPr="00230D47">
        <w:rPr>
          <w:rFonts w:cs="Times New Roman"/>
          <w:color w:val="000000" w:themeColor="text1"/>
          <w:sz w:val="24"/>
          <w:szCs w:val="24"/>
        </w:rPr>
        <w:t xml:space="preserve">                     </w:t>
      </w:r>
      <w:r w:rsidRPr="00230D47">
        <w:rPr>
          <w:rFonts w:cs="Times New Roman"/>
          <w:color w:val="000000" w:themeColor="text1"/>
          <w:sz w:val="24"/>
          <w:szCs w:val="24"/>
        </w:rPr>
        <w:t>A cloud datacenter hosting mission-critical applications must choose between a Type-1 (bare-metal) hypervisor and a Type-2 (hosted) hypervisor. The choice is analyzed across performance, security, and manageability.</w:t>
      </w:r>
    </w:p>
    <w:p w:rsidR="00230D47" w:rsidRPr="00230D47" w:rsidRDefault="00230D47" w:rsidP="00230D47">
      <w:pPr>
        <w:spacing w:before="160" w:after="80"/>
        <w:ind w:left="1152"/>
        <w:jc w:val="both"/>
        <w:rPr>
          <w:rFonts w:cs="Times New Roman"/>
          <w:color w:val="000000" w:themeColor="text1"/>
          <w:sz w:val="24"/>
          <w:szCs w:val="24"/>
        </w:rPr>
      </w:pPr>
      <w:r w:rsidRPr="00230D47">
        <w:rPr>
          <w:rFonts w:cs="Times New Roman"/>
          <w:b/>
          <w:bCs/>
          <w:color w:val="000000" w:themeColor="text1"/>
          <w:sz w:val="24"/>
          <w:szCs w:val="24"/>
        </w:rPr>
        <w:t>1. Architectural Difference</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Type-1 hypervisor: </w:t>
      </w:r>
      <w:r w:rsidRPr="00230D47">
        <w:rPr>
          <w:rFonts w:cs="Times New Roman"/>
          <w:color w:val="000000" w:themeColor="text1"/>
          <w:sz w:val="24"/>
          <w:szCs w:val="24"/>
        </w:rPr>
        <w:t>installs directly on the physical server and interacts with hardware natively; the host machine has no general-purpose operating system underneath it.</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Type-2 hypervisor: </w:t>
      </w:r>
      <w:r w:rsidRPr="00230D47">
        <w:rPr>
          <w:rFonts w:cs="Times New Roman"/>
          <w:color w:val="000000" w:themeColor="text1"/>
          <w:sz w:val="24"/>
          <w:szCs w:val="24"/>
        </w:rPr>
        <w:t>installs as an application on top of a conventional host operating system, so every hardware call passes through an extra software layer.</w:t>
      </w:r>
    </w:p>
    <w:p w:rsidR="00230D47" w:rsidRPr="00230D47" w:rsidRDefault="00230D47" w:rsidP="00230D47">
      <w:pPr>
        <w:spacing w:before="120" w:after="120"/>
        <w:ind w:left="1152"/>
        <w:jc w:val="both"/>
        <w:rPr>
          <w:rFonts w:cs="Times New Roman"/>
          <w:color w:val="000000" w:themeColor="text1"/>
          <w:sz w:val="24"/>
          <w:szCs w:val="24"/>
        </w:rPr>
      </w:pPr>
      <w:r w:rsidRPr="00230D47">
        <w:rPr>
          <w:rFonts w:cs="Times New Roman"/>
          <w:noProof/>
          <w:color w:val="000000" w:themeColor="text1"/>
          <w:sz w:val="24"/>
          <w:szCs w:val="24"/>
        </w:rPr>
        <w:lastRenderedPageBreak/>
        <w:drawing>
          <wp:inline distT="0" distB="0" distL="0" distR="0" wp14:anchorId="72A64B7B" wp14:editId="70AA9B9A">
            <wp:extent cx="576072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3657600"/>
                    </a:xfrm>
                    <a:prstGeom prst="rect">
                      <a:avLst/>
                    </a:prstGeom>
                  </pic:spPr>
                </pic:pic>
              </a:graphicData>
            </a:graphic>
          </wp:inline>
        </w:drawing>
      </w:r>
    </w:p>
    <w:p w:rsidR="00230D47" w:rsidRPr="00230D47" w:rsidRDefault="00230D47" w:rsidP="00230D47">
      <w:pPr>
        <w:ind w:left="1152"/>
        <w:jc w:val="both"/>
        <w:rPr>
          <w:rFonts w:cs="Times New Roman"/>
          <w:color w:val="000000" w:themeColor="text1"/>
          <w:sz w:val="24"/>
          <w:szCs w:val="24"/>
        </w:rPr>
      </w:pPr>
      <w:r w:rsidRPr="00230D47">
        <w:rPr>
          <w:rFonts w:cs="Times New Roman"/>
          <w:color w:val="000000" w:themeColor="text1"/>
          <w:sz w:val="24"/>
          <w:szCs w:val="24"/>
        </w:rPr>
        <w:t>Figure 1.1: Architectural stack comparison of Type-1 and Type-2 hypervisors.</w:t>
      </w:r>
    </w:p>
    <w:p w:rsidR="00230D47" w:rsidRPr="00230D47" w:rsidRDefault="00230D47" w:rsidP="00230D47">
      <w:pPr>
        <w:spacing w:before="160" w:after="80"/>
        <w:ind w:left="1152"/>
        <w:jc w:val="both"/>
        <w:rPr>
          <w:rFonts w:cs="Times New Roman"/>
          <w:color w:val="000000" w:themeColor="text1"/>
          <w:sz w:val="24"/>
          <w:szCs w:val="24"/>
        </w:rPr>
      </w:pPr>
      <w:r w:rsidRPr="00230D47">
        <w:rPr>
          <w:rFonts w:cs="Times New Roman"/>
          <w:b/>
          <w:bCs/>
          <w:color w:val="000000" w:themeColor="text1"/>
          <w:sz w:val="24"/>
          <w:szCs w:val="24"/>
        </w:rPr>
        <w:t>2. Comparison Table</w:t>
      </w:r>
    </w:p>
    <w:tbl>
      <w:tblPr>
        <w:tblW w:w="890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50"/>
        <w:gridCol w:w="3450"/>
      </w:tblGrid>
      <w:tr w:rsidR="00230D47" w:rsidRPr="00230D47" w:rsidTr="00230D47">
        <w:tblPrEx>
          <w:tblCellMar>
            <w:top w:w="0" w:type="dxa"/>
            <w:bottom w:w="0" w:type="dxa"/>
          </w:tblCellMar>
        </w:tblPrEx>
        <w:trPr>
          <w:tblHeader/>
        </w:trPr>
        <w:tc>
          <w:tcPr>
            <w:tcW w:w="2000" w:type="dxa"/>
            <w:shd w:val="clear" w:color="auto" w:fill="auto"/>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b/>
                <w:bCs/>
                <w:color w:val="000000" w:themeColor="text1"/>
                <w:sz w:val="24"/>
                <w:szCs w:val="24"/>
              </w:rPr>
              <w:t>Aspect</w:t>
            </w:r>
          </w:p>
        </w:tc>
        <w:tc>
          <w:tcPr>
            <w:tcW w:w="3450" w:type="dxa"/>
            <w:shd w:val="clear" w:color="auto" w:fill="auto"/>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b/>
                <w:bCs/>
                <w:color w:val="000000" w:themeColor="text1"/>
                <w:sz w:val="24"/>
                <w:szCs w:val="24"/>
              </w:rPr>
              <w:t>Type-1 Hypervisor (Bare-Metal)</w:t>
            </w:r>
          </w:p>
        </w:tc>
        <w:tc>
          <w:tcPr>
            <w:tcW w:w="3450" w:type="dxa"/>
            <w:shd w:val="clear" w:color="auto" w:fill="auto"/>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b/>
                <w:bCs/>
                <w:color w:val="000000" w:themeColor="text1"/>
                <w:sz w:val="24"/>
                <w:szCs w:val="24"/>
              </w:rPr>
              <w:t>Type-2 Hypervisor (Hosted)</w:t>
            </w:r>
          </w:p>
        </w:tc>
      </w:tr>
      <w:tr w:rsidR="00230D47" w:rsidRPr="00230D47" w:rsidTr="00230D47">
        <w:tblPrEx>
          <w:tblCellMar>
            <w:top w:w="0" w:type="dxa"/>
            <w:bottom w:w="0" w:type="dxa"/>
          </w:tblCellMar>
        </w:tblPrEx>
        <w:tc>
          <w:tcPr>
            <w:tcW w:w="2000" w:type="dxa"/>
            <w:shd w:val="clear" w:color="auto" w:fill="F8FAFC"/>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Deployment</w:t>
            </w:r>
          </w:p>
        </w:tc>
        <w:tc>
          <w:tcPr>
            <w:tcW w:w="3450" w:type="dxa"/>
            <w:shd w:val="clear" w:color="auto" w:fill="F8FAFC"/>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Runs directly on physical hardware; no host OS in between</w:t>
            </w:r>
          </w:p>
        </w:tc>
        <w:tc>
          <w:tcPr>
            <w:tcW w:w="3450" w:type="dxa"/>
            <w:shd w:val="clear" w:color="auto" w:fill="F8FAFC"/>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Runs as an application on top of a host operating system</w:t>
            </w:r>
          </w:p>
        </w:tc>
      </w:tr>
      <w:tr w:rsidR="00230D47" w:rsidRPr="00230D47" w:rsidTr="00230D47">
        <w:tblPrEx>
          <w:tblCellMar>
            <w:top w:w="0" w:type="dxa"/>
            <w:bottom w:w="0" w:type="dxa"/>
          </w:tblCellMar>
        </w:tblPrEx>
        <w:tc>
          <w:tcPr>
            <w:tcW w:w="2000" w:type="dxa"/>
            <w:shd w:val="clear" w:color="auto" w:fill="FFFFFF"/>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Performance</w:t>
            </w:r>
          </w:p>
        </w:tc>
        <w:tc>
          <w:tcPr>
            <w:tcW w:w="3450" w:type="dxa"/>
            <w:shd w:val="clear" w:color="auto" w:fill="FFFFFF"/>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Near-native performance; minimal virtualization overhead</w:t>
            </w:r>
          </w:p>
        </w:tc>
        <w:tc>
          <w:tcPr>
            <w:tcW w:w="3450" w:type="dxa"/>
            <w:shd w:val="clear" w:color="auto" w:fill="FFFFFF"/>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Lower performance due to extra OS abstraction layer</w:t>
            </w:r>
          </w:p>
        </w:tc>
      </w:tr>
      <w:tr w:rsidR="00230D47" w:rsidRPr="00230D47" w:rsidTr="00230D47">
        <w:tblPrEx>
          <w:tblCellMar>
            <w:top w:w="0" w:type="dxa"/>
            <w:bottom w:w="0" w:type="dxa"/>
          </w:tblCellMar>
        </w:tblPrEx>
        <w:tc>
          <w:tcPr>
            <w:tcW w:w="2000" w:type="dxa"/>
            <w:shd w:val="clear" w:color="auto" w:fill="F8FAFC"/>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Security</w:t>
            </w:r>
          </w:p>
        </w:tc>
        <w:tc>
          <w:tcPr>
            <w:tcW w:w="3450" w:type="dxa"/>
            <w:shd w:val="clear" w:color="auto" w:fill="F8FAFC"/>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Smaller attack surface; hypervisor has direct hardware control</w:t>
            </w:r>
          </w:p>
        </w:tc>
        <w:tc>
          <w:tcPr>
            <w:tcW w:w="3450" w:type="dxa"/>
            <w:shd w:val="clear" w:color="auto" w:fill="F8FAFC"/>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Larger attack surface - vulnerable to host OS exploits too</w:t>
            </w:r>
          </w:p>
        </w:tc>
      </w:tr>
      <w:tr w:rsidR="00230D47" w:rsidRPr="00230D47" w:rsidTr="00230D47">
        <w:tblPrEx>
          <w:tblCellMar>
            <w:top w:w="0" w:type="dxa"/>
            <w:bottom w:w="0" w:type="dxa"/>
          </w:tblCellMar>
        </w:tblPrEx>
        <w:tc>
          <w:tcPr>
            <w:tcW w:w="2000" w:type="dxa"/>
            <w:shd w:val="clear" w:color="auto" w:fill="FFFFFF"/>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Manageability</w:t>
            </w:r>
          </w:p>
        </w:tc>
        <w:tc>
          <w:tcPr>
            <w:tcW w:w="3450" w:type="dxa"/>
            <w:shd w:val="clear" w:color="auto" w:fill="FFFFFF"/>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Requires specialized skills; centralized enterprise tooling (</w:t>
            </w:r>
            <w:proofErr w:type="spellStart"/>
            <w:r w:rsidRPr="00230D47">
              <w:rPr>
                <w:rFonts w:cs="Times New Roman"/>
                <w:color w:val="000000" w:themeColor="text1"/>
                <w:sz w:val="24"/>
                <w:szCs w:val="24"/>
              </w:rPr>
              <w:t>vCenter</w:t>
            </w:r>
            <w:proofErr w:type="spellEnd"/>
            <w:r w:rsidRPr="00230D47">
              <w:rPr>
                <w:rFonts w:cs="Times New Roman"/>
                <w:color w:val="000000" w:themeColor="text1"/>
                <w:sz w:val="24"/>
                <w:szCs w:val="24"/>
              </w:rPr>
              <w:t>, SCVMM)</w:t>
            </w:r>
          </w:p>
        </w:tc>
        <w:tc>
          <w:tcPr>
            <w:tcW w:w="3450" w:type="dxa"/>
            <w:shd w:val="clear" w:color="auto" w:fill="FFFFFF"/>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Easy to install/manage on a normal desktop OS</w:t>
            </w:r>
          </w:p>
        </w:tc>
      </w:tr>
      <w:tr w:rsidR="00230D47" w:rsidRPr="00230D47" w:rsidTr="00230D47">
        <w:tblPrEx>
          <w:tblCellMar>
            <w:top w:w="0" w:type="dxa"/>
            <w:bottom w:w="0" w:type="dxa"/>
          </w:tblCellMar>
        </w:tblPrEx>
        <w:tc>
          <w:tcPr>
            <w:tcW w:w="2000" w:type="dxa"/>
            <w:shd w:val="clear" w:color="auto" w:fill="F8FAFC"/>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Typical Use Case</w:t>
            </w:r>
          </w:p>
        </w:tc>
        <w:tc>
          <w:tcPr>
            <w:tcW w:w="3450" w:type="dxa"/>
            <w:shd w:val="clear" w:color="auto" w:fill="F8FAFC"/>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Production datacenters, mission-critical enterprise workloads</w:t>
            </w:r>
          </w:p>
        </w:tc>
        <w:tc>
          <w:tcPr>
            <w:tcW w:w="3450" w:type="dxa"/>
            <w:shd w:val="clear" w:color="auto" w:fill="F8FAFC"/>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Developer sandboxes, testing, personal/desktop virtualization</w:t>
            </w:r>
          </w:p>
        </w:tc>
      </w:tr>
      <w:tr w:rsidR="00230D47" w:rsidRPr="00230D47" w:rsidTr="00230D47">
        <w:tblPrEx>
          <w:tblCellMar>
            <w:top w:w="0" w:type="dxa"/>
            <w:bottom w:w="0" w:type="dxa"/>
          </w:tblCellMar>
        </w:tblPrEx>
        <w:tc>
          <w:tcPr>
            <w:tcW w:w="2000" w:type="dxa"/>
            <w:shd w:val="clear" w:color="auto" w:fill="FFFFFF"/>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lastRenderedPageBreak/>
              <w:t>Examples</w:t>
            </w:r>
          </w:p>
        </w:tc>
        <w:tc>
          <w:tcPr>
            <w:tcW w:w="3450" w:type="dxa"/>
            <w:shd w:val="clear" w:color="auto" w:fill="FFFFFF"/>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 xml:space="preserve">VMware </w:t>
            </w:r>
            <w:proofErr w:type="spellStart"/>
            <w:r w:rsidRPr="00230D47">
              <w:rPr>
                <w:rFonts w:cs="Times New Roman"/>
                <w:color w:val="000000" w:themeColor="text1"/>
                <w:sz w:val="24"/>
                <w:szCs w:val="24"/>
              </w:rPr>
              <w:t>ESXi</w:t>
            </w:r>
            <w:proofErr w:type="spellEnd"/>
            <w:r w:rsidRPr="00230D47">
              <w:rPr>
                <w:rFonts w:cs="Times New Roman"/>
                <w:color w:val="000000" w:themeColor="text1"/>
                <w:sz w:val="24"/>
                <w:szCs w:val="24"/>
              </w:rPr>
              <w:t xml:space="preserve">, Microsoft Hyper-V, KVM, Citrix </w:t>
            </w:r>
            <w:proofErr w:type="spellStart"/>
            <w:r w:rsidRPr="00230D47">
              <w:rPr>
                <w:rFonts w:cs="Times New Roman"/>
                <w:color w:val="000000" w:themeColor="text1"/>
                <w:sz w:val="24"/>
                <w:szCs w:val="24"/>
              </w:rPr>
              <w:t>Xen</w:t>
            </w:r>
            <w:proofErr w:type="spellEnd"/>
          </w:p>
        </w:tc>
        <w:tc>
          <w:tcPr>
            <w:tcW w:w="3450" w:type="dxa"/>
            <w:shd w:val="clear" w:color="auto" w:fill="FFFFFF"/>
            <w:tcMar>
              <w:top w:w="80" w:type="dxa"/>
              <w:left w:w="100" w:type="dxa"/>
              <w:bottom w:w="80" w:type="dxa"/>
              <w:right w:w="100" w:type="dxa"/>
            </w:tcMar>
            <w:vAlign w:val="center"/>
          </w:tcPr>
          <w:p w:rsidR="00230D47" w:rsidRPr="00230D47" w:rsidRDefault="00230D47" w:rsidP="00230D47">
            <w:pPr>
              <w:jc w:val="both"/>
              <w:rPr>
                <w:rFonts w:cs="Times New Roman"/>
                <w:color w:val="000000" w:themeColor="text1"/>
                <w:sz w:val="24"/>
                <w:szCs w:val="24"/>
              </w:rPr>
            </w:pPr>
            <w:r w:rsidRPr="00230D47">
              <w:rPr>
                <w:rFonts w:cs="Times New Roman"/>
                <w:color w:val="000000" w:themeColor="text1"/>
                <w:sz w:val="24"/>
                <w:szCs w:val="24"/>
              </w:rPr>
              <w:t xml:space="preserve">VMware Workstation, Oracle </w:t>
            </w:r>
            <w:proofErr w:type="spellStart"/>
            <w:r w:rsidRPr="00230D47">
              <w:rPr>
                <w:rFonts w:cs="Times New Roman"/>
                <w:color w:val="000000" w:themeColor="text1"/>
                <w:sz w:val="24"/>
                <w:szCs w:val="24"/>
              </w:rPr>
              <w:t>VirtualBox</w:t>
            </w:r>
            <w:proofErr w:type="spellEnd"/>
            <w:r w:rsidRPr="00230D47">
              <w:rPr>
                <w:rFonts w:cs="Times New Roman"/>
                <w:color w:val="000000" w:themeColor="text1"/>
                <w:sz w:val="24"/>
                <w:szCs w:val="24"/>
              </w:rPr>
              <w:t>, Parallels Desktop</w:t>
            </w:r>
          </w:p>
        </w:tc>
      </w:tr>
    </w:tbl>
    <w:p w:rsidR="00230D47" w:rsidRPr="00230D47" w:rsidRDefault="00230D47" w:rsidP="00230D47">
      <w:pPr>
        <w:spacing w:before="160"/>
        <w:ind w:left="1152"/>
        <w:jc w:val="both"/>
        <w:rPr>
          <w:rFonts w:cs="Times New Roman"/>
          <w:color w:val="000000" w:themeColor="text1"/>
          <w:sz w:val="24"/>
          <w:szCs w:val="24"/>
        </w:rPr>
      </w:pPr>
    </w:p>
    <w:p w:rsidR="00230D47" w:rsidRPr="00230D47" w:rsidRDefault="00230D47" w:rsidP="00230D47">
      <w:pPr>
        <w:spacing w:before="160" w:after="80"/>
        <w:ind w:left="1152"/>
        <w:jc w:val="both"/>
        <w:rPr>
          <w:rFonts w:cs="Times New Roman"/>
          <w:color w:val="000000" w:themeColor="text1"/>
          <w:sz w:val="24"/>
          <w:szCs w:val="24"/>
        </w:rPr>
      </w:pPr>
      <w:r w:rsidRPr="00230D47">
        <w:rPr>
          <w:rFonts w:cs="Times New Roman"/>
          <w:b/>
          <w:bCs/>
          <w:color w:val="000000" w:themeColor="text1"/>
          <w:sz w:val="24"/>
          <w:szCs w:val="24"/>
        </w:rPr>
        <w:t>3. Analysis</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Performance: </w:t>
      </w:r>
      <w:r w:rsidRPr="00230D47">
        <w:rPr>
          <w:rFonts w:cs="Times New Roman"/>
          <w:color w:val="000000" w:themeColor="text1"/>
          <w:sz w:val="24"/>
          <w:szCs w:val="24"/>
        </w:rPr>
        <w:t>Type-1 hypervisors talk to hardware directly, giving near-native CPU, memory, and I/O performance essential for latency-sensitive, mission-critical workloads. Type-2 hypervisors compete with the host OS for resources, adding scheduling overhead and unpredictable latency.</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Security: </w:t>
      </w:r>
      <w:r w:rsidRPr="00230D47">
        <w:rPr>
          <w:rFonts w:cs="Times New Roman"/>
          <w:color w:val="000000" w:themeColor="text1"/>
          <w:sz w:val="24"/>
          <w:szCs w:val="24"/>
        </w:rPr>
        <w:t>Type-1's minimal, purpose-built hypervisor kernel presents a much smaller attack surface, and a compromise of the host OS (a risk unique to Type-2) is not a threat vector. Type-2 inherits every vulnerability of its host OS in addition to the hypervisor's own, effectively doubling the exposed surface.</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Manageability: </w:t>
      </w:r>
      <w:r w:rsidRPr="00230D47">
        <w:rPr>
          <w:rFonts w:cs="Times New Roman"/>
          <w:color w:val="000000" w:themeColor="text1"/>
          <w:sz w:val="24"/>
          <w:szCs w:val="24"/>
        </w:rPr>
        <w:t>Type-1 platforms come with enterprise-grade centralized management (</w:t>
      </w:r>
      <w:proofErr w:type="spellStart"/>
      <w:r w:rsidRPr="00230D47">
        <w:rPr>
          <w:rFonts w:cs="Times New Roman"/>
          <w:color w:val="000000" w:themeColor="text1"/>
          <w:sz w:val="24"/>
          <w:szCs w:val="24"/>
        </w:rPr>
        <w:t>vCenter</w:t>
      </w:r>
      <w:proofErr w:type="spellEnd"/>
      <w:r w:rsidRPr="00230D47">
        <w:rPr>
          <w:rFonts w:cs="Times New Roman"/>
          <w:color w:val="000000" w:themeColor="text1"/>
          <w:sz w:val="24"/>
          <w:szCs w:val="24"/>
        </w:rPr>
        <w:t>, System Center) supporting live migration, clustering, and automated failover - critical for uptime guarantees. Type-2 platforms are simpler to install but lack this operational tooling, since they are designed for individual desktops rather than fleets of servers.</w:t>
      </w:r>
    </w:p>
    <w:p w:rsidR="00230D47" w:rsidRPr="00230D47" w:rsidRDefault="00230D47" w:rsidP="00230D47">
      <w:pPr>
        <w:spacing w:before="160" w:after="80"/>
        <w:ind w:left="1152"/>
        <w:jc w:val="both"/>
        <w:rPr>
          <w:rFonts w:cs="Times New Roman"/>
          <w:color w:val="000000" w:themeColor="text1"/>
          <w:sz w:val="24"/>
          <w:szCs w:val="24"/>
        </w:rPr>
      </w:pPr>
      <w:r w:rsidRPr="00230D47">
        <w:rPr>
          <w:rFonts w:cs="Times New Roman"/>
          <w:b/>
          <w:bCs/>
          <w:color w:val="000000" w:themeColor="text1"/>
          <w:sz w:val="24"/>
          <w:szCs w:val="24"/>
        </w:rPr>
        <w:t>4. Justification - Recommended Choice</w:t>
      </w:r>
    </w:p>
    <w:p w:rsidR="00230D47" w:rsidRPr="00230D47" w:rsidRDefault="00230D47" w:rsidP="00230D47">
      <w:pPr>
        <w:spacing w:after="120"/>
        <w:ind w:left="1152"/>
        <w:jc w:val="both"/>
        <w:rPr>
          <w:rFonts w:cs="Times New Roman"/>
          <w:color w:val="000000" w:themeColor="text1"/>
          <w:sz w:val="24"/>
          <w:szCs w:val="24"/>
        </w:rPr>
      </w:pPr>
      <w:r w:rsidRPr="00230D47">
        <w:rPr>
          <w:rFonts w:cs="Times New Roman"/>
          <w:color w:val="000000" w:themeColor="text1"/>
          <w:sz w:val="24"/>
          <w:szCs w:val="24"/>
        </w:rPr>
        <w:t>For a datacenter hosting mission-critical applications, a Type-1 (bare-metal) hypervisor is the better choice. It delivers the performance headroom mission-critical workloads need, minimizes the attack surface that regulators and auditors scrutinize, and integrates with enterprise management/orchestration tooling required for high availability at datacenter scale. Type-2 hypervisors remain appropriate only for development, testing, or isolated desktop use cases where convenience matters more than production-grade performance and security.</w:t>
      </w:r>
    </w:p>
    <w:p w:rsidR="00230D47" w:rsidRPr="00230D47" w:rsidRDefault="00230D47" w:rsidP="00230D47">
      <w:pPr>
        <w:pStyle w:val="ListNumber"/>
        <w:numPr>
          <w:ilvl w:val="0"/>
          <w:numId w:val="0"/>
        </w:numPr>
        <w:ind w:left="360"/>
        <w:jc w:val="both"/>
        <w:rPr>
          <w:rFonts w:cs="Times New Roman"/>
          <w:color w:val="000000" w:themeColor="text1"/>
          <w:sz w:val="24"/>
          <w:szCs w:val="24"/>
        </w:rPr>
      </w:pPr>
    </w:p>
    <w:p w:rsidR="004A0A92" w:rsidRPr="00230D47" w:rsidRDefault="008D17B4" w:rsidP="00230D47">
      <w:pPr>
        <w:pStyle w:val="ListNumber"/>
        <w:jc w:val="both"/>
        <w:rPr>
          <w:rFonts w:cs="Times New Roman"/>
          <w:color w:val="000000" w:themeColor="text1"/>
          <w:sz w:val="24"/>
          <w:szCs w:val="24"/>
        </w:rPr>
      </w:pPr>
      <w:r w:rsidRPr="00230D47">
        <w:rPr>
          <w:rFonts w:cs="Times New Roman"/>
          <w:color w:val="000000" w:themeColor="text1"/>
          <w:sz w:val="24"/>
          <w:szCs w:val="24"/>
        </w:rPr>
        <w:t>A cloud provider must isolate workloads belonging to finance, healthcare, and student portals on the same hardware. Analyze how virtualization architecture supports isolation and identify two major attack surfaces.</w:t>
      </w:r>
    </w:p>
    <w:p w:rsidR="00230D47" w:rsidRPr="00230D47" w:rsidRDefault="00230D47" w:rsidP="00230D47">
      <w:pPr>
        <w:pStyle w:val="ListNumber"/>
        <w:numPr>
          <w:ilvl w:val="0"/>
          <w:numId w:val="0"/>
        </w:numPr>
        <w:ind w:left="360"/>
        <w:jc w:val="both"/>
        <w:rPr>
          <w:rFonts w:cs="Times New Roman"/>
          <w:color w:val="000000" w:themeColor="text1"/>
          <w:sz w:val="24"/>
          <w:szCs w:val="24"/>
        </w:rPr>
      </w:pPr>
      <w:r w:rsidRPr="00230D47">
        <w:rPr>
          <w:rFonts w:cs="Times New Roman"/>
          <w:color w:val="000000" w:themeColor="text1"/>
          <w:sz w:val="24"/>
          <w:szCs w:val="24"/>
        </w:rPr>
        <w:t>Answers:</w:t>
      </w:r>
    </w:p>
    <w:p w:rsidR="00230D47" w:rsidRPr="00230D47" w:rsidRDefault="00230D47" w:rsidP="00230D47">
      <w:pPr>
        <w:spacing w:after="120"/>
        <w:jc w:val="both"/>
        <w:rPr>
          <w:rFonts w:cs="Times New Roman"/>
          <w:color w:val="000000" w:themeColor="text1"/>
          <w:sz w:val="24"/>
          <w:szCs w:val="24"/>
        </w:rPr>
      </w:pPr>
      <w:r w:rsidRPr="00230D47">
        <w:rPr>
          <w:rFonts w:cs="Times New Roman"/>
          <w:color w:val="000000" w:themeColor="text1"/>
          <w:sz w:val="24"/>
          <w:szCs w:val="24"/>
        </w:rPr>
        <w:t xml:space="preserve">                       </w:t>
      </w:r>
      <w:r w:rsidRPr="00230D47">
        <w:rPr>
          <w:rFonts w:cs="Times New Roman"/>
          <w:color w:val="000000" w:themeColor="text1"/>
          <w:sz w:val="24"/>
          <w:szCs w:val="24"/>
        </w:rPr>
        <w:t>A cloud provider must run finance, healthcare, and student-portal workloads on the same physical hardware while keeping each tenant fully isolated from the others.</w:t>
      </w:r>
    </w:p>
    <w:p w:rsidR="00230D47" w:rsidRPr="00230D47" w:rsidRDefault="00230D47" w:rsidP="00230D47">
      <w:pPr>
        <w:spacing w:before="160" w:after="80"/>
        <w:ind w:left="1152"/>
        <w:jc w:val="both"/>
        <w:rPr>
          <w:rFonts w:cs="Times New Roman"/>
          <w:color w:val="000000" w:themeColor="text1"/>
          <w:sz w:val="24"/>
          <w:szCs w:val="24"/>
        </w:rPr>
      </w:pPr>
      <w:r w:rsidRPr="00230D47">
        <w:rPr>
          <w:rFonts w:cs="Times New Roman"/>
          <w:b/>
          <w:bCs/>
          <w:color w:val="000000" w:themeColor="text1"/>
          <w:sz w:val="24"/>
          <w:szCs w:val="24"/>
        </w:rPr>
        <w:t>1. How Virtualization Architecture Supports Isolation</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Hardware-level partitioning: </w:t>
      </w:r>
      <w:r w:rsidRPr="00230D47">
        <w:rPr>
          <w:rFonts w:cs="Times New Roman"/>
          <w:color w:val="000000" w:themeColor="text1"/>
          <w:sz w:val="24"/>
          <w:szCs w:val="24"/>
        </w:rPr>
        <w:t>The hypervisor uses CPU virtualization extensions (Intel VT-x/AMD-V) to allocate dedicated virtual CPU time slices and enforce memory address-space separation, so one VM cannot directly read or write another VM's memory.</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lastRenderedPageBreak/>
        <w:t xml:space="preserve">Virtual network segmentation: </w:t>
      </w:r>
      <w:r w:rsidRPr="00230D47">
        <w:rPr>
          <w:rFonts w:cs="Times New Roman"/>
          <w:color w:val="000000" w:themeColor="text1"/>
          <w:sz w:val="24"/>
          <w:szCs w:val="24"/>
        </w:rPr>
        <w:t>Each tenant's VM is placed on an isolated virtual switch/VLAN or VXLAN overlay, with firewall and security-group rules preventing east-west traffic between tenants unless explicitly permitted.</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Storage isolation: </w:t>
      </w:r>
      <w:r w:rsidRPr="00230D47">
        <w:rPr>
          <w:rFonts w:cs="Times New Roman"/>
          <w:color w:val="000000" w:themeColor="text1"/>
          <w:sz w:val="24"/>
          <w:szCs w:val="24"/>
        </w:rPr>
        <w:t>Virtual disks are logically separated per VM, often with per-tenant encryption keys, so storage-layer access does not cross tenant boundaries even on shared physical disks.</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Policy-based resource control: </w:t>
      </w:r>
      <w:r w:rsidRPr="00230D47">
        <w:rPr>
          <w:rFonts w:cs="Times New Roman"/>
          <w:color w:val="000000" w:themeColor="text1"/>
          <w:sz w:val="24"/>
          <w:szCs w:val="24"/>
        </w:rPr>
        <w:t>Resource pools/quotas (CPU shares, memory limits, I/O throttling) prevent one tenant (e.g., a traffic spike on the student portal) from starving another tenant's (e.g., finance) resources - a form of isolation for availability, not just confidentiality.</w:t>
      </w:r>
    </w:p>
    <w:p w:rsidR="00230D47" w:rsidRPr="00230D47" w:rsidRDefault="00230D47" w:rsidP="00230D47">
      <w:pPr>
        <w:spacing w:before="120" w:after="120"/>
        <w:ind w:left="1152"/>
        <w:jc w:val="both"/>
        <w:rPr>
          <w:rFonts w:cs="Times New Roman"/>
          <w:color w:val="000000" w:themeColor="text1"/>
          <w:sz w:val="24"/>
          <w:szCs w:val="24"/>
        </w:rPr>
      </w:pPr>
      <w:r w:rsidRPr="00230D47">
        <w:rPr>
          <w:rFonts w:cs="Times New Roman"/>
          <w:noProof/>
          <w:color w:val="000000" w:themeColor="text1"/>
          <w:sz w:val="24"/>
          <w:szCs w:val="24"/>
        </w:rPr>
        <w:drawing>
          <wp:inline distT="0" distB="0" distL="0" distR="0" wp14:anchorId="5C204EC4" wp14:editId="5E7A9DBA">
            <wp:extent cx="576072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657600"/>
                    </a:xfrm>
                    <a:prstGeom prst="rect">
                      <a:avLst/>
                    </a:prstGeom>
                  </pic:spPr>
                </pic:pic>
              </a:graphicData>
            </a:graphic>
          </wp:inline>
        </w:drawing>
      </w:r>
    </w:p>
    <w:p w:rsidR="00230D47" w:rsidRPr="00230D47" w:rsidRDefault="00230D47" w:rsidP="00230D47">
      <w:pPr>
        <w:ind w:left="1152"/>
        <w:jc w:val="both"/>
        <w:rPr>
          <w:rFonts w:cs="Times New Roman"/>
          <w:color w:val="000000" w:themeColor="text1"/>
          <w:sz w:val="24"/>
          <w:szCs w:val="24"/>
        </w:rPr>
      </w:pPr>
      <w:r w:rsidRPr="00230D47">
        <w:rPr>
          <w:rFonts w:cs="Times New Roman"/>
          <w:i/>
          <w:iCs/>
          <w:color w:val="000000" w:themeColor="text1"/>
          <w:sz w:val="24"/>
          <w:szCs w:val="24"/>
        </w:rPr>
        <w:t>Figure 2.1: Multi-tenant isolation architecture with two major attack surfaces highlighted.</w:t>
      </w:r>
    </w:p>
    <w:p w:rsidR="00230D47" w:rsidRPr="00230D47" w:rsidRDefault="00230D47" w:rsidP="00230D47">
      <w:pPr>
        <w:spacing w:before="160" w:after="80"/>
        <w:ind w:left="1152"/>
        <w:jc w:val="both"/>
        <w:rPr>
          <w:rFonts w:cs="Times New Roman"/>
          <w:color w:val="000000" w:themeColor="text1"/>
          <w:sz w:val="24"/>
          <w:szCs w:val="24"/>
        </w:rPr>
      </w:pPr>
      <w:r w:rsidRPr="00230D47">
        <w:rPr>
          <w:rFonts w:cs="Times New Roman"/>
          <w:b/>
          <w:bCs/>
          <w:color w:val="000000" w:themeColor="text1"/>
          <w:sz w:val="24"/>
          <w:szCs w:val="24"/>
        </w:rPr>
        <w:t>2. Two Major Attack Surfaces</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VM / hypervisor escape: </w:t>
      </w:r>
      <w:r w:rsidRPr="00230D47">
        <w:rPr>
          <w:rFonts w:cs="Times New Roman"/>
          <w:color w:val="000000" w:themeColor="text1"/>
          <w:sz w:val="24"/>
          <w:szCs w:val="24"/>
        </w:rPr>
        <w:t>A flaw in the hypervisor's device-emulation or memory-management code could let an attacker inside one VM break out and gain control of the hypervisor itself, or pivot directly into a co-located tenant's VM. Given that healthcare and finance data are highly regulated, this is the single most critical risk to mitigate through timely hypervisor patching and hardened configurations.</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Side-channel attacks: </w:t>
      </w:r>
      <w:r w:rsidRPr="00230D47">
        <w:rPr>
          <w:rFonts w:cs="Times New Roman"/>
          <w:color w:val="000000" w:themeColor="text1"/>
          <w:sz w:val="24"/>
          <w:szCs w:val="24"/>
        </w:rPr>
        <w:t xml:space="preserve">Because tenants share physical CPU caches, memory buses, and sometimes storage media, an attacker can use timing or cache-based side-channel techniques (e.g., </w:t>
      </w:r>
      <w:proofErr w:type="spellStart"/>
      <w:r w:rsidRPr="00230D47">
        <w:rPr>
          <w:rFonts w:cs="Times New Roman"/>
          <w:color w:val="000000" w:themeColor="text1"/>
          <w:sz w:val="24"/>
          <w:szCs w:val="24"/>
        </w:rPr>
        <w:t>Spectre</w:t>
      </w:r>
      <w:proofErr w:type="spellEnd"/>
      <w:r w:rsidRPr="00230D47">
        <w:rPr>
          <w:rFonts w:cs="Times New Roman"/>
          <w:color w:val="000000" w:themeColor="text1"/>
          <w:sz w:val="24"/>
          <w:szCs w:val="24"/>
        </w:rPr>
        <w:t>/Meltdown-class attacks) to infer data from a neighboring tenant's VM without ever breaching the hypervisor boundary directly.</w:t>
      </w:r>
    </w:p>
    <w:p w:rsidR="00230D47" w:rsidRPr="00230D47" w:rsidRDefault="00230D47" w:rsidP="00230D47">
      <w:pPr>
        <w:spacing w:after="120"/>
        <w:ind w:left="1152"/>
        <w:jc w:val="both"/>
        <w:rPr>
          <w:rFonts w:cs="Times New Roman"/>
          <w:color w:val="000000" w:themeColor="text1"/>
          <w:sz w:val="24"/>
          <w:szCs w:val="24"/>
        </w:rPr>
      </w:pPr>
      <w:r w:rsidRPr="00230D47">
        <w:rPr>
          <w:rFonts w:cs="Times New Roman"/>
          <w:color w:val="000000" w:themeColor="text1"/>
          <w:sz w:val="24"/>
          <w:szCs w:val="24"/>
        </w:rPr>
        <w:t xml:space="preserve">Mitigations include keeping hypervisors patched against known escape CVEs, enabling tenant-aware CPU scheduling/cache-partitioning features, considering dedicated (non-shared) hosts </w:t>
      </w:r>
      <w:r w:rsidRPr="00230D47">
        <w:rPr>
          <w:rFonts w:cs="Times New Roman"/>
          <w:color w:val="000000" w:themeColor="text1"/>
          <w:sz w:val="24"/>
          <w:szCs w:val="24"/>
        </w:rPr>
        <w:lastRenderedPageBreak/>
        <w:t>for the most sensitive tenant (e.g., healthcare data under HIPAA-type regulation), and continuous security monitoring for anomalous cross-tenant behavior.</w:t>
      </w:r>
    </w:p>
    <w:p w:rsidR="00230D47" w:rsidRPr="00230D47" w:rsidRDefault="00230D47" w:rsidP="00230D47">
      <w:pPr>
        <w:pStyle w:val="ListNumber"/>
        <w:numPr>
          <w:ilvl w:val="0"/>
          <w:numId w:val="0"/>
        </w:numPr>
        <w:ind w:left="360"/>
        <w:jc w:val="both"/>
        <w:rPr>
          <w:rFonts w:cs="Times New Roman"/>
          <w:color w:val="000000" w:themeColor="text1"/>
          <w:sz w:val="24"/>
          <w:szCs w:val="24"/>
        </w:rPr>
      </w:pPr>
    </w:p>
    <w:p w:rsidR="004A0A92" w:rsidRPr="00230D47" w:rsidRDefault="008D17B4" w:rsidP="00230D47">
      <w:pPr>
        <w:pStyle w:val="ListNumber"/>
        <w:jc w:val="both"/>
        <w:rPr>
          <w:rFonts w:cs="Times New Roman"/>
          <w:color w:val="000000" w:themeColor="text1"/>
          <w:sz w:val="24"/>
          <w:szCs w:val="24"/>
        </w:rPr>
      </w:pPr>
      <w:r w:rsidRPr="00230D47">
        <w:rPr>
          <w:rFonts w:cs="Times New Roman"/>
          <w:color w:val="000000" w:themeColor="text1"/>
          <w:sz w:val="24"/>
          <w:szCs w:val="24"/>
        </w:rPr>
        <w:t>Study the following VM host utilization snapshot and recommend corrective actions: CPU 92%, memory 88%, storage I/O latency 35 ms, average VM boot time 170 s. Explain the likely bottlenecks.</w:t>
      </w:r>
    </w:p>
    <w:p w:rsidR="00230D47" w:rsidRPr="00230D47" w:rsidRDefault="00230D47" w:rsidP="00230D47">
      <w:pPr>
        <w:pStyle w:val="ListNumber"/>
        <w:numPr>
          <w:ilvl w:val="0"/>
          <w:numId w:val="0"/>
        </w:numPr>
        <w:ind w:left="360"/>
        <w:jc w:val="both"/>
        <w:rPr>
          <w:rFonts w:cs="Times New Roman"/>
          <w:color w:val="000000" w:themeColor="text1"/>
          <w:sz w:val="24"/>
          <w:szCs w:val="24"/>
        </w:rPr>
      </w:pPr>
      <w:r w:rsidRPr="00230D47">
        <w:rPr>
          <w:rFonts w:cs="Times New Roman"/>
          <w:color w:val="000000" w:themeColor="text1"/>
          <w:sz w:val="24"/>
          <w:szCs w:val="24"/>
        </w:rPr>
        <w:t>Answer:</w:t>
      </w:r>
    </w:p>
    <w:p w:rsidR="00230D47" w:rsidRPr="00230D47" w:rsidRDefault="00230D47" w:rsidP="00230D47">
      <w:pPr>
        <w:spacing w:after="120"/>
        <w:ind w:left="720"/>
        <w:jc w:val="both"/>
        <w:rPr>
          <w:rFonts w:cs="Times New Roman"/>
          <w:color w:val="000000" w:themeColor="text1"/>
          <w:sz w:val="24"/>
          <w:szCs w:val="24"/>
        </w:rPr>
      </w:pPr>
      <w:r w:rsidRPr="00230D47">
        <w:rPr>
          <w:rFonts w:cs="Times New Roman"/>
          <w:color w:val="000000" w:themeColor="text1"/>
          <w:sz w:val="24"/>
          <w:szCs w:val="24"/>
        </w:rPr>
        <w:t xml:space="preserve">       </w:t>
      </w:r>
      <w:r w:rsidRPr="00230D47">
        <w:rPr>
          <w:rFonts w:cs="Times New Roman"/>
          <w:color w:val="000000" w:themeColor="text1"/>
          <w:sz w:val="24"/>
          <w:szCs w:val="24"/>
        </w:rPr>
        <w:t xml:space="preserve">Observed metrics: CPU 92%, memory 88%, storage I/O latency 35 </w:t>
      </w:r>
      <w:proofErr w:type="spellStart"/>
      <w:r w:rsidRPr="00230D47">
        <w:rPr>
          <w:rFonts w:cs="Times New Roman"/>
          <w:color w:val="000000" w:themeColor="text1"/>
          <w:sz w:val="24"/>
          <w:szCs w:val="24"/>
        </w:rPr>
        <w:t>ms</w:t>
      </w:r>
      <w:proofErr w:type="spellEnd"/>
      <w:r w:rsidRPr="00230D47">
        <w:rPr>
          <w:rFonts w:cs="Times New Roman"/>
          <w:color w:val="000000" w:themeColor="text1"/>
          <w:sz w:val="24"/>
          <w:szCs w:val="24"/>
        </w:rPr>
        <w:t>, average VM boot time 170 seconds. These figures are analyzed against typical safe operating thresholds to identify the underlying bottlenecks.</w:t>
      </w:r>
    </w:p>
    <w:p w:rsidR="00230D47" w:rsidRPr="00230D47" w:rsidRDefault="00230D47" w:rsidP="00230D47">
      <w:pPr>
        <w:spacing w:before="160" w:after="80"/>
        <w:ind w:left="720"/>
        <w:jc w:val="both"/>
        <w:rPr>
          <w:rFonts w:cs="Times New Roman"/>
          <w:color w:val="000000" w:themeColor="text1"/>
          <w:sz w:val="24"/>
          <w:szCs w:val="24"/>
        </w:rPr>
      </w:pPr>
      <w:r w:rsidRPr="00230D47">
        <w:rPr>
          <w:rFonts w:cs="Times New Roman"/>
          <w:b/>
          <w:bCs/>
          <w:color w:val="000000" w:themeColor="text1"/>
          <w:sz w:val="24"/>
          <w:szCs w:val="24"/>
        </w:rPr>
        <w:t>1. Identifying the Bottlenecks</w:t>
      </w:r>
    </w:p>
    <w:p w:rsidR="00230D47" w:rsidRPr="00230D47" w:rsidRDefault="00230D47" w:rsidP="00230D47">
      <w:pPr>
        <w:pStyle w:val="ListParagraph"/>
        <w:numPr>
          <w:ilvl w:val="0"/>
          <w:numId w:val="10"/>
        </w:numPr>
        <w:spacing w:after="60"/>
        <w:ind w:left="1224"/>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CPU at 92% (threshold ~80%): </w:t>
      </w:r>
      <w:r w:rsidRPr="00230D47">
        <w:rPr>
          <w:rFonts w:cs="Times New Roman"/>
          <w:color w:val="000000" w:themeColor="text1"/>
          <w:sz w:val="24"/>
          <w:szCs w:val="24"/>
        </w:rPr>
        <w:t xml:space="preserve">The host is CPU over-committed - too many </w:t>
      </w:r>
      <w:proofErr w:type="spellStart"/>
      <w:r w:rsidRPr="00230D47">
        <w:rPr>
          <w:rFonts w:cs="Times New Roman"/>
          <w:color w:val="000000" w:themeColor="text1"/>
          <w:sz w:val="24"/>
          <w:szCs w:val="24"/>
        </w:rPr>
        <w:t>vCPUs</w:t>
      </w:r>
      <w:proofErr w:type="spellEnd"/>
      <w:r w:rsidRPr="00230D47">
        <w:rPr>
          <w:rFonts w:cs="Times New Roman"/>
          <w:color w:val="000000" w:themeColor="text1"/>
          <w:sz w:val="24"/>
          <w:szCs w:val="24"/>
        </w:rPr>
        <w:t xml:space="preserve"> are contending for too few physical cores, causing CPU ready/wait time for every VM and directly slowing all workloads, including the boot process.</w:t>
      </w:r>
    </w:p>
    <w:p w:rsidR="00230D47" w:rsidRPr="00230D47" w:rsidRDefault="00230D47" w:rsidP="00230D47">
      <w:pPr>
        <w:pStyle w:val="ListParagraph"/>
        <w:numPr>
          <w:ilvl w:val="0"/>
          <w:numId w:val="10"/>
        </w:numPr>
        <w:spacing w:after="60"/>
        <w:ind w:left="1224"/>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Memory at 88% (threshold ~80%): </w:t>
      </w:r>
      <w:r w:rsidRPr="00230D47">
        <w:rPr>
          <w:rFonts w:cs="Times New Roman"/>
          <w:color w:val="000000" w:themeColor="text1"/>
          <w:sz w:val="24"/>
          <w:szCs w:val="24"/>
        </w:rPr>
        <w:t>The host is close to physical memory exhaustion. This forces the hypervisor into memory-reclamation techniques such as ballooning or swapping to disk, which is far slower than RAM and compounds the I/O problem below.</w:t>
      </w:r>
    </w:p>
    <w:p w:rsidR="00230D47" w:rsidRPr="00230D47" w:rsidRDefault="00230D47" w:rsidP="00230D47">
      <w:pPr>
        <w:pStyle w:val="ListParagraph"/>
        <w:numPr>
          <w:ilvl w:val="0"/>
          <w:numId w:val="10"/>
        </w:numPr>
        <w:spacing w:after="60"/>
        <w:ind w:left="1224"/>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Storage I/O latency at 35 </w:t>
      </w:r>
      <w:proofErr w:type="spellStart"/>
      <w:r w:rsidRPr="00230D47">
        <w:rPr>
          <w:rFonts w:cs="Times New Roman"/>
          <w:b/>
          <w:bCs/>
          <w:color w:val="000000" w:themeColor="text1"/>
          <w:sz w:val="24"/>
          <w:szCs w:val="24"/>
        </w:rPr>
        <w:t>ms</w:t>
      </w:r>
      <w:proofErr w:type="spellEnd"/>
      <w:r w:rsidRPr="00230D47">
        <w:rPr>
          <w:rFonts w:cs="Times New Roman"/>
          <w:b/>
          <w:bCs/>
          <w:color w:val="000000" w:themeColor="text1"/>
          <w:sz w:val="24"/>
          <w:szCs w:val="24"/>
        </w:rPr>
        <w:t xml:space="preserve"> (threshold ~20 </w:t>
      </w:r>
      <w:proofErr w:type="spellStart"/>
      <w:r w:rsidRPr="00230D47">
        <w:rPr>
          <w:rFonts w:cs="Times New Roman"/>
          <w:b/>
          <w:bCs/>
          <w:color w:val="000000" w:themeColor="text1"/>
          <w:sz w:val="24"/>
          <w:szCs w:val="24"/>
        </w:rPr>
        <w:t>ms</w:t>
      </w:r>
      <w:proofErr w:type="spellEnd"/>
      <w:r w:rsidRPr="00230D47">
        <w:rPr>
          <w:rFonts w:cs="Times New Roman"/>
          <w:b/>
          <w:bCs/>
          <w:color w:val="000000" w:themeColor="text1"/>
          <w:sz w:val="24"/>
          <w:szCs w:val="24"/>
        </w:rPr>
        <w:t xml:space="preserve">): </w:t>
      </w:r>
      <w:r w:rsidRPr="00230D47">
        <w:rPr>
          <w:rFonts w:cs="Times New Roman"/>
          <w:color w:val="000000" w:themeColor="text1"/>
          <w:sz w:val="24"/>
          <w:szCs w:val="24"/>
        </w:rPr>
        <w:t xml:space="preserve">This is well above the ~10-20 </w:t>
      </w:r>
      <w:proofErr w:type="spellStart"/>
      <w:r w:rsidRPr="00230D47">
        <w:rPr>
          <w:rFonts w:cs="Times New Roman"/>
          <w:color w:val="000000" w:themeColor="text1"/>
          <w:sz w:val="24"/>
          <w:szCs w:val="24"/>
        </w:rPr>
        <w:t>ms</w:t>
      </w:r>
      <w:proofErr w:type="spellEnd"/>
      <w:r w:rsidRPr="00230D47">
        <w:rPr>
          <w:rFonts w:cs="Times New Roman"/>
          <w:color w:val="000000" w:themeColor="text1"/>
          <w:sz w:val="24"/>
          <w:szCs w:val="24"/>
        </w:rPr>
        <w:t xml:space="preserve"> range expected of healthy shared storage, indicating either a disk/array approaching saturation or hypervisor-level memory swapping spilling onto disk (consistent with the memory pressure above).</w:t>
      </w:r>
    </w:p>
    <w:p w:rsidR="00230D47" w:rsidRPr="00230D47" w:rsidRDefault="00230D47" w:rsidP="00230D47">
      <w:pPr>
        <w:pStyle w:val="ListParagraph"/>
        <w:numPr>
          <w:ilvl w:val="0"/>
          <w:numId w:val="10"/>
        </w:numPr>
        <w:spacing w:after="60"/>
        <w:ind w:left="1224"/>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VM boot time at 170 s (threshold ~60 s): </w:t>
      </w:r>
      <w:r w:rsidRPr="00230D47">
        <w:rPr>
          <w:rFonts w:cs="Times New Roman"/>
          <w:color w:val="000000" w:themeColor="text1"/>
          <w:sz w:val="24"/>
          <w:szCs w:val="24"/>
        </w:rPr>
        <w:t>This is the visible symptom, not a separate root cause - boot involves heavy simultaneous CPU, memory, and disk I/O, so it is the metric most affected when all three underlying resources are constrained at once.</w:t>
      </w:r>
    </w:p>
    <w:p w:rsidR="00230D47" w:rsidRPr="00230D47" w:rsidRDefault="00230D47" w:rsidP="00230D47">
      <w:pPr>
        <w:tabs>
          <w:tab w:val="left" w:pos="8544"/>
        </w:tabs>
        <w:spacing w:before="160" w:after="80"/>
        <w:ind w:left="720"/>
        <w:jc w:val="both"/>
        <w:rPr>
          <w:rFonts w:cs="Times New Roman"/>
          <w:color w:val="000000" w:themeColor="text1"/>
          <w:sz w:val="24"/>
          <w:szCs w:val="24"/>
        </w:rPr>
      </w:pPr>
      <w:r w:rsidRPr="00230D47">
        <w:rPr>
          <w:rFonts w:cs="Times New Roman"/>
          <w:b/>
          <w:bCs/>
          <w:color w:val="000000" w:themeColor="text1"/>
          <w:sz w:val="24"/>
          <w:szCs w:val="24"/>
        </w:rPr>
        <w:t>2. Likely Root Cause</w:t>
      </w:r>
      <w:r w:rsidRPr="00230D47">
        <w:rPr>
          <w:rFonts w:cs="Times New Roman"/>
          <w:b/>
          <w:bCs/>
          <w:color w:val="000000" w:themeColor="text1"/>
          <w:sz w:val="24"/>
          <w:szCs w:val="24"/>
        </w:rPr>
        <w:tab/>
      </w:r>
    </w:p>
    <w:p w:rsidR="00230D47" w:rsidRPr="00230D47" w:rsidRDefault="00230D47" w:rsidP="00230D47">
      <w:pPr>
        <w:spacing w:after="120"/>
        <w:ind w:left="720"/>
        <w:jc w:val="both"/>
        <w:rPr>
          <w:rFonts w:cs="Times New Roman"/>
          <w:color w:val="000000" w:themeColor="text1"/>
          <w:sz w:val="24"/>
          <w:szCs w:val="24"/>
        </w:rPr>
      </w:pPr>
      <w:r w:rsidRPr="00230D47">
        <w:rPr>
          <w:rFonts w:cs="Times New Roman"/>
          <w:color w:val="000000" w:themeColor="text1"/>
          <w:sz w:val="24"/>
          <w:szCs w:val="24"/>
        </w:rPr>
        <w:t xml:space="preserve">The pattern points to VM sprawl / over-provisioning on this host: too many VMs (or over-sized VMs) have been packed onto hardware </w:t>
      </w:r>
      <w:proofErr w:type="gramStart"/>
      <w:r w:rsidRPr="00230D47">
        <w:rPr>
          <w:rFonts w:cs="Times New Roman"/>
          <w:color w:val="000000" w:themeColor="text1"/>
          <w:sz w:val="24"/>
          <w:szCs w:val="24"/>
        </w:rPr>
        <w:t>whose</w:t>
      </w:r>
      <w:proofErr w:type="gramEnd"/>
      <w:r w:rsidRPr="00230D47">
        <w:rPr>
          <w:rFonts w:cs="Times New Roman"/>
          <w:color w:val="000000" w:themeColor="text1"/>
          <w:sz w:val="24"/>
          <w:szCs w:val="24"/>
        </w:rPr>
        <w:t xml:space="preserve"> CPU and memory capacity was already close to its limit, and the resulting memory pressure is spilling over into storage I/O contention. The elevated boot time is a downstream effect of all three resources being saturated simultaneously, not an independent fault.</w:t>
      </w:r>
    </w:p>
    <w:p w:rsidR="00230D47" w:rsidRPr="00230D47" w:rsidRDefault="00230D47" w:rsidP="00230D47">
      <w:pPr>
        <w:spacing w:before="160" w:after="80"/>
        <w:ind w:left="720"/>
        <w:jc w:val="both"/>
        <w:rPr>
          <w:rFonts w:cs="Times New Roman"/>
          <w:color w:val="000000" w:themeColor="text1"/>
          <w:sz w:val="24"/>
          <w:szCs w:val="24"/>
        </w:rPr>
      </w:pPr>
      <w:r w:rsidRPr="00230D47">
        <w:rPr>
          <w:rFonts w:cs="Times New Roman"/>
          <w:b/>
          <w:bCs/>
          <w:color w:val="000000" w:themeColor="text1"/>
          <w:sz w:val="24"/>
          <w:szCs w:val="24"/>
        </w:rPr>
        <w:t>3. Corrective Actions</w:t>
      </w:r>
    </w:p>
    <w:p w:rsidR="00230D47" w:rsidRPr="00230D47" w:rsidRDefault="00230D47" w:rsidP="00230D47">
      <w:pPr>
        <w:pStyle w:val="ListParagraph"/>
        <w:numPr>
          <w:ilvl w:val="0"/>
          <w:numId w:val="10"/>
        </w:numPr>
        <w:spacing w:after="60"/>
        <w:ind w:left="1224"/>
        <w:contextualSpacing w:val="0"/>
        <w:jc w:val="both"/>
        <w:rPr>
          <w:rFonts w:cs="Times New Roman"/>
          <w:color w:val="000000" w:themeColor="text1"/>
          <w:sz w:val="24"/>
          <w:szCs w:val="24"/>
        </w:rPr>
      </w:pPr>
      <w:r w:rsidRPr="00230D47">
        <w:rPr>
          <w:rFonts w:cs="Times New Roman"/>
          <w:color w:val="000000" w:themeColor="text1"/>
          <w:sz w:val="24"/>
          <w:szCs w:val="24"/>
        </w:rPr>
        <w:t xml:space="preserve">Right-size VMs: audit </w:t>
      </w:r>
      <w:proofErr w:type="spellStart"/>
      <w:r w:rsidRPr="00230D47">
        <w:rPr>
          <w:rFonts w:cs="Times New Roman"/>
          <w:color w:val="000000" w:themeColor="text1"/>
          <w:sz w:val="24"/>
          <w:szCs w:val="24"/>
        </w:rPr>
        <w:t>vCPU</w:t>
      </w:r>
      <w:proofErr w:type="spellEnd"/>
      <w:r w:rsidRPr="00230D47">
        <w:rPr>
          <w:rFonts w:cs="Times New Roman"/>
          <w:color w:val="000000" w:themeColor="text1"/>
          <w:sz w:val="24"/>
          <w:szCs w:val="24"/>
        </w:rPr>
        <w:t>/</w:t>
      </w:r>
      <w:proofErr w:type="spellStart"/>
      <w:r w:rsidRPr="00230D47">
        <w:rPr>
          <w:rFonts w:cs="Times New Roman"/>
          <w:color w:val="000000" w:themeColor="text1"/>
          <w:sz w:val="24"/>
          <w:szCs w:val="24"/>
        </w:rPr>
        <w:t>vRAM</w:t>
      </w:r>
      <w:proofErr w:type="spellEnd"/>
      <w:r w:rsidRPr="00230D47">
        <w:rPr>
          <w:rFonts w:cs="Times New Roman"/>
          <w:color w:val="000000" w:themeColor="text1"/>
          <w:sz w:val="24"/>
          <w:szCs w:val="24"/>
        </w:rPr>
        <w:t xml:space="preserve"> allocations against actual guest utilization and reclaim over-allocated resources.</w:t>
      </w:r>
    </w:p>
    <w:p w:rsidR="00230D47" w:rsidRPr="00230D47" w:rsidRDefault="00230D47" w:rsidP="00230D47">
      <w:pPr>
        <w:pStyle w:val="ListParagraph"/>
        <w:numPr>
          <w:ilvl w:val="0"/>
          <w:numId w:val="10"/>
        </w:numPr>
        <w:spacing w:after="60"/>
        <w:ind w:left="1224"/>
        <w:contextualSpacing w:val="0"/>
        <w:jc w:val="both"/>
        <w:rPr>
          <w:rFonts w:cs="Times New Roman"/>
          <w:color w:val="000000" w:themeColor="text1"/>
          <w:sz w:val="24"/>
          <w:szCs w:val="24"/>
        </w:rPr>
      </w:pPr>
      <w:r w:rsidRPr="00230D47">
        <w:rPr>
          <w:rFonts w:cs="Times New Roman"/>
          <w:color w:val="000000" w:themeColor="text1"/>
          <w:sz w:val="24"/>
          <w:szCs w:val="24"/>
        </w:rPr>
        <w:t xml:space="preserve">Rebalance load: use </w:t>
      </w:r>
      <w:proofErr w:type="spellStart"/>
      <w:r w:rsidRPr="00230D47">
        <w:rPr>
          <w:rFonts w:cs="Times New Roman"/>
          <w:color w:val="000000" w:themeColor="text1"/>
          <w:sz w:val="24"/>
          <w:szCs w:val="24"/>
        </w:rPr>
        <w:t>vMotion</w:t>
      </w:r>
      <w:proofErr w:type="spellEnd"/>
      <w:r w:rsidRPr="00230D47">
        <w:rPr>
          <w:rFonts w:cs="Times New Roman"/>
          <w:color w:val="000000" w:themeColor="text1"/>
          <w:sz w:val="24"/>
          <w:szCs w:val="24"/>
        </w:rPr>
        <w:t>/live migration (DRS-style automation) to move some VMs to less-loaded hosts in the cluster.</w:t>
      </w:r>
    </w:p>
    <w:p w:rsidR="00230D47" w:rsidRPr="00230D47" w:rsidRDefault="00230D47" w:rsidP="00230D47">
      <w:pPr>
        <w:pStyle w:val="ListParagraph"/>
        <w:numPr>
          <w:ilvl w:val="0"/>
          <w:numId w:val="10"/>
        </w:numPr>
        <w:spacing w:after="60"/>
        <w:ind w:left="1224"/>
        <w:contextualSpacing w:val="0"/>
        <w:jc w:val="both"/>
        <w:rPr>
          <w:rFonts w:cs="Times New Roman"/>
          <w:color w:val="000000" w:themeColor="text1"/>
          <w:sz w:val="24"/>
          <w:szCs w:val="24"/>
        </w:rPr>
      </w:pPr>
      <w:r w:rsidRPr="00230D47">
        <w:rPr>
          <w:rFonts w:cs="Times New Roman"/>
          <w:color w:val="000000" w:themeColor="text1"/>
          <w:sz w:val="24"/>
          <w:szCs w:val="24"/>
        </w:rPr>
        <w:t>Add capacity: if the cluster overall is undersized, scale out with additional hosts or upgrade CPU/RAM on this host.</w:t>
      </w:r>
    </w:p>
    <w:p w:rsidR="00230D47" w:rsidRPr="00230D47" w:rsidRDefault="00230D47" w:rsidP="00230D47">
      <w:pPr>
        <w:pStyle w:val="ListParagraph"/>
        <w:numPr>
          <w:ilvl w:val="0"/>
          <w:numId w:val="10"/>
        </w:numPr>
        <w:spacing w:after="60"/>
        <w:ind w:left="1224"/>
        <w:contextualSpacing w:val="0"/>
        <w:jc w:val="both"/>
        <w:rPr>
          <w:rFonts w:cs="Times New Roman"/>
          <w:color w:val="000000" w:themeColor="text1"/>
          <w:sz w:val="24"/>
          <w:szCs w:val="24"/>
        </w:rPr>
      </w:pPr>
      <w:r w:rsidRPr="00230D47">
        <w:rPr>
          <w:rFonts w:cs="Times New Roman"/>
          <w:color w:val="000000" w:themeColor="text1"/>
          <w:sz w:val="24"/>
          <w:szCs w:val="24"/>
        </w:rPr>
        <w:t>Tune storage: move latency-sensitive VMs to faster storage tiers (SSD/</w:t>
      </w:r>
      <w:proofErr w:type="spellStart"/>
      <w:r w:rsidRPr="00230D47">
        <w:rPr>
          <w:rFonts w:cs="Times New Roman"/>
          <w:color w:val="000000" w:themeColor="text1"/>
          <w:sz w:val="24"/>
          <w:szCs w:val="24"/>
        </w:rPr>
        <w:t>NVMe</w:t>
      </w:r>
      <w:proofErr w:type="spellEnd"/>
      <w:r w:rsidRPr="00230D47">
        <w:rPr>
          <w:rFonts w:cs="Times New Roman"/>
          <w:color w:val="000000" w:themeColor="text1"/>
          <w:sz w:val="24"/>
          <w:szCs w:val="24"/>
        </w:rPr>
        <w:t>) or add IOPS capacity; check for a failing/degraded disk in the array.</w:t>
      </w:r>
    </w:p>
    <w:p w:rsidR="00230D47" w:rsidRPr="00230D47" w:rsidRDefault="00230D47" w:rsidP="00230D47">
      <w:pPr>
        <w:pStyle w:val="ListParagraph"/>
        <w:numPr>
          <w:ilvl w:val="0"/>
          <w:numId w:val="10"/>
        </w:numPr>
        <w:spacing w:after="60"/>
        <w:ind w:left="1224"/>
        <w:contextualSpacing w:val="0"/>
        <w:jc w:val="both"/>
        <w:rPr>
          <w:rFonts w:cs="Times New Roman"/>
          <w:color w:val="000000" w:themeColor="text1"/>
          <w:sz w:val="24"/>
          <w:szCs w:val="24"/>
        </w:rPr>
      </w:pPr>
      <w:r w:rsidRPr="00230D47">
        <w:rPr>
          <w:rFonts w:cs="Times New Roman"/>
          <w:color w:val="000000" w:themeColor="text1"/>
          <w:sz w:val="24"/>
          <w:szCs w:val="24"/>
        </w:rPr>
        <w:t>Set resource limits and reservations per VM to prevent any single workload from starving others, and configure proactive alerting before thresholds are breached again.</w:t>
      </w:r>
    </w:p>
    <w:p w:rsidR="00230D47" w:rsidRPr="00230D47" w:rsidRDefault="00230D47" w:rsidP="00230D47">
      <w:pPr>
        <w:pStyle w:val="ListNumber"/>
        <w:numPr>
          <w:ilvl w:val="0"/>
          <w:numId w:val="0"/>
        </w:numPr>
        <w:ind w:left="360"/>
        <w:jc w:val="both"/>
        <w:rPr>
          <w:rFonts w:cs="Times New Roman"/>
          <w:color w:val="000000" w:themeColor="text1"/>
          <w:sz w:val="24"/>
          <w:szCs w:val="24"/>
        </w:rPr>
      </w:pPr>
    </w:p>
    <w:p w:rsidR="004A0A92" w:rsidRPr="00230D47" w:rsidRDefault="008D17B4" w:rsidP="00230D47">
      <w:pPr>
        <w:pStyle w:val="ListNumber"/>
        <w:jc w:val="both"/>
        <w:rPr>
          <w:rFonts w:cs="Times New Roman"/>
          <w:color w:val="000000" w:themeColor="text1"/>
          <w:sz w:val="24"/>
          <w:szCs w:val="24"/>
        </w:rPr>
      </w:pPr>
      <w:r w:rsidRPr="00230D47">
        <w:rPr>
          <w:rFonts w:cs="Times New Roman"/>
          <w:color w:val="000000" w:themeColor="text1"/>
          <w:sz w:val="24"/>
          <w:szCs w:val="24"/>
        </w:rPr>
        <w:t>Analyze how Software Defined Datacenter architecture improves agility compared with a traditional datacenter. Support your answer with compute, storage, and network virtualization considerations.</w:t>
      </w:r>
    </w:p>
    <w:p w:rsidR="00230D47" w:rsidRPr="00230D47" w:rsidRDefault="00230D47" w:rsidP="00230D47">
      <w:pPr>
        <w:pStyle w:val="ListNumber"/>
        <w:numPr>
          <w:ilvl w:val="0"/>
          <w:numId w:val="0"/>
        </w:numPr>
        <w:ind w:left="360"/>
        <w:jc w:val="both"/>
        <w:rPr>
          <w:rFonts w:cs="Times New Roman"/>
          <w:color w:val="000000" w:themeColor="text1"/>
          <w:sz w:val="24"/>
          <w:szCs w:val="24"/>
        </w:rPr>
      </w:pPr>
      <w:r w:rsidRPr="00230D47">
        <w:rPr>
          <w:rFonts w:cs="Times New Roman"/>
          <w:color w:val="000000" w:themeColor="text1"/>
          <w:sz w:val="24"/>
          <w:szCs w:val="24"/>
        </w:rPr>
        <w:t>Answer:</w:t>
      </w:r>
    </w:p>
    <w:p w:rsidR="00230D47" w:rsidRPr="00230D47" w:rsidRDefault="00230D47" w:rsidP="00230D47">
      <w:pPr>
        <w:spacing w:after="120"/>
        <w:jc w:val="both"/>
        <w:rPr>
          <w:rFonts w:cs="Times New Roman"/>
          <w:color w:val="000000" w:themeColor="text1"/>
          <w:sz w:val="24"/>
          <w:szCs w:val="24"/>
        </w:rPr>
      </w:pPr>
      <w:r w:rsidRPr="00230D47">
        <w:rPr>
          <w:rFonts w:cs="Times New Roman"/>
          <w:color w:val="000000" w:themeColor="text1"/>
          <w:sz w:val="24"/>
          <w:szCs w:val="24"/>
        </w:rPr>
        <w:t xml:space="preserve">                    </w:t>
      </w:r>
      <w:r w:rsidRPr="00230D47">
        <w:rPr>
          <w:rFonts w:cs="Times New Roman"/>
          <w:color w:val="000000" w:themeColor="text1"/>
          <w:sz w:val="24"/>
          <w:szCs w:val="24"/>
        </w:rPr>
        <w:t>A Software-Defined Datacenter abstracts compute, storage, and networking into software-controlled pools, in contrast to a traditional datacenter built on fixed, manually configured hardware.</w:t>
      </w:r>
    </w:p>
    <w:p w:rsidR="00230D47" w:rsidRPr="00230D47" w:rsidRDefault="00230D47" w:rsidP="00230D47">
      <w:pPr>
        <w:spacing w:before="120" w:after="120"/>
        <w:ind w:left="720"/>
        <w:jc w:val="both"/>
        <w:rPr>
          <w:rFonts w:cs="Times New Roman"/>
          <w:color w:val="000000" w:themeColor="text1"/>
          <w:sz w:val="24"/>
          <w:szCs w:val="24"/>
        </w:rPr>
      </w:pPr>
      <w:r w:rsidRPr="00230D47">
        <w:rPr>
          <w:rFonts w:cs="Times New Roman"/>
          <w:noProof/>
          <w:color w:val="000000" w:themeColor="text1"/>
          <w:sz w:val="24"/>
          <w:szCs w:val="24"/>
        </w:rPr>
        <w:drawing>
          <wp:inline distT="0" distB="0" distL="0" distR="0" wp14:anchorId="5ED1068E" wp14:editId="13F56801">
            <wp:extent cx="576072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3657600"/>
                    </a:xfrm>
                    <a:prstGeom prst="rect">
                      <a:avLst/>
                    </a:prstGeom>
                  </pic:spPr>
                </pic:pic>
              </a:graphicData>
            </a:graphic>
          </wp:inline>
        </w:drawing>
      </w:r>
    </w:p>
    <w:p w:rsidR="00230D47" w:rsidRPr="00230D47" w:rsidRDefault="00230D47" w:rsidP="00230D47">
      <w:pPr>
        <w:ind w:left="720"/>
        <w:jc w:val="both"/>
        <w:rPr>
          <w:rFonts w:cs="Times New Roman"/>
          <w:color w:val="000000" w:themeColor="text1"/>
          <w:sz w:val="24"/>
          <w:szCs w:val="24"/>
        </w:rPr>
      </w:pPr>
      <w:r w:rsidRPr="00230D47">
        <w:rPr>
          <w:rFonts w:cs="Times New Roman"/>
          <w:i/>
          <w:iCs/>
          <w:color w:val="000000" w:themeColor="text1"/>
          <w:sz w:val="24"/>
          <w:szCs w:val="24"/>
        </w:rPr>
        <w:t xml:space="preserve">Figure 4.1: Traditional </w:t>
      </w:r>
      <w:proofErr w:type="spellStart"/>
      <w:r w:rsidRPr="00230D47">
        <w:rPr>
          <w:rFonts w:cs="Times New Roman"/>
          <w:i/>
          <w:iCs/>
          <w:color w:val="000000" w:themeColor="text1"/>
          <w:sz w:val="24"/>
          <w:szCs w:val="24"/>
        </w:rPr>
        <w:t>siloed</w:t>
      </w:r>
      <w:proofErr w:type="spellEnd"/>
      <w:r w:rsidRPr="00230D47">
        <w:rPr>
          <w:rFonts w:cs="Times New Roman"/>
          <w:i/>
          <w:iCs/>
          <w:color w:val="000000" w:themeColor="text1"/>
          <w:sz w:val="24"/>
          <w:szCs w:val="24"/>
        </w:rPr>
        <w:t xml:space="preserve"> infrastructure versus a virtualized, software-defined datacenter.</w:t>
      </w:r>
    </w:p>
    <w:p w:rsidR="00230D47" w:rsidRPr="00230D47" w:rsidRDefault="00230D47" w:rsidP="00230D47">
      <w:pPr>
        <w:spacing w:before="160" w:after="80"/>
        <w:ind w:left="720"/>
        <w:jc w:val="both"/>
        <w:rPr>
          <w:rFonts w:cs="Times New Roman"/>
          <w:color w:val="000000" w:themeColor="text1"/>
          <w:sz w:val="24"/>
          <w:szCs w:val="24"/>
        </w:rPr>
      </w:pPr>
      <w:r w:rsidRPr="00230D47">
        <w:rPr>
          <w:rFonts w:cs="Times New Roman"/>
          <w:b/>
          <w:bCs/>
          <w:color w:val="000000" w:themeColor="text1"/>
          <w:sz w:val="24"/>
          <w:szCs w:val="24"/>
        </w:rPr>
        <w:t>1. Compute Virtualization</w:t>
      </w:r>
    </w:p>
    <w:p w:rsidR="00230D47" w:rsidRPr="00230D47" w:rsidRDefault="00230D47" w:rsidP="00230D47">
      <w:pPr>
        <w:spacing w:after="120"/>
        <w:ind w:left="720"/>
        <w:jc w:val="both"/>
        <w:rPr>
          <w:rFonts w:cs="Times New Roman"/>
          <w:color w:val="000000" w:themeColor="text1"/>
          <w:sz w:val="24"/>
          <w:szCs w:val="24"/>
        </w:rPr>
      </w:pPr>
      <w:r w:rsidRPr="00230D47">
        <w:rPr>
          <w:rFonts w:cs="Times New Roman"/>
          <w:color w:val="000000" w:themeColor="text1"/>
          <w:sz w:val="24"/>
          <w:szCs w:val="24"/>
        </w:rPr>
        <w:t>In a traditional datacenter, applications are typically bound to dedicated physical servers, so adding capacity means procuring and racking new hardware - a process that takes weeks. In an SDDC, a hypervisor layer pools compute across all physical hosts; new virtual machines or containers can be provisioned from that shared pool in minutes, and workloads can be live-migrated between hosts for load balancing or maintenance with zero downtime.</w:t>
      </w:r>
    </w:p>
    <w:p w:rsidR="00230D47" w:rsidRPr="00230D47" w:rsidRDefault="00230D47" w:rsidP="00230D47">
      <w:pPr>
        <w:spacing w:before="160" w:after="80"/>
        <w:ind w:left="720"/>
        <w:jc w:val="both"/>
        <w:rPr>
          <w:rFonts w:cs="Times New Roman"/>
          <w:color w:val="000000" w:themeColor="text1"/>
          <w:sz w:val="24"/>
          <w:szCs w:val="24"/>
        </w:rPr>
      </w:pPr>
      <w:r w:rsidRPr="00230D47">
        <w:rPr>
          <w:rFonts w:cs="Times New Roman"/>
          <w:b/>
          <w:bCs/>
          <w:color w:val="000000" w:themeColor="text1"/>
          <w:sz w:val="24"/>
          <w:szCs w:val="24"/>
        </w:rPr>
        <w:t>2. Storage Virtualization</w:t>
      </w:r>
    </w:p>
    <w:p w:rsidR="00230D47" w:rsidRPr="00230D47" w:rsidRDefault="00230D47" w:rsidP="00230D47">
      <w:pPr>
        <w:spacing w:after="120"/>
        <w:ind w:left="720"/>
        <w:jc w:val="both"/>
        <w:rPr>
          <w:rFonts w:cs="Times New Roman"/>
          <w:color w:val="000000" w:themeColor="text1"/>
          <w:sz w:val="24"/>
          <w:szCs w:val="24"/>
        </w:rPr>
      </w:pPr>
      <w:r w:rsidRPr="00230D47">
        <w:rPr>
          <w:rFonts w:cs="Times New Roman"/>
          <w:color w:val="000000" w:themeColor="text1"/>
          <w:sz w:val="24"/>
          <w:szCs w:val="24"/>
        </w:rPr>
        <w:t>Traditional storage (SAN/NAS) is manually carved into LUNs and assigned to specific applications, requiring a storage administrator for every change. Software-Defined Storage (SDS) pools all available disks across the cluster and exposes them through policy-based provisioning (e.g., 'this application needs SSD-tier, 3-way replicated storage'), letting the system automatically place and protect data without manual LUN management.</w:t>
      </w:r>
    </w:p>
    <w:p w:rsidR="00230D47" w:rsidRPr="00230D47" w:rsidRDefault="00230D47" w:rsidP="00230D47">
      <w:pPr>
        <w:spacing w:before="160" w:after="80"/>
        <w:ind w:left="720"/>
        <w:jc w:val="both"/>
        <w:rPr>
          <w:rFonts w:cs="Times New Roman"/>
          <w:color w:val="000000" w:themeColor="text1"/>
          <w:sz w:val="24"/>
          <w:szCs w:val="24"/>
        </w:rPr>
      </w:pPr>
      <w:r w:rsidRPr="00230D47">
        <w:rPr>
          <w:rFonts w:cs="Times New Roman"/>
          <w:b/>
          <w:bCs/>
          <w:color w:val="000000" w:themeColor="text1"/>
          <w:sz w:val="24"/>
          <w:szCs w:val="24"/>
        </w:rPr>
        <w:t>3. Network Virtualization</w:t>
      </w:r>
    </w:p>
    <w:p w:rsidR="00230D47" w:rsidRPr="00230D47" w:rsidRDefault="00230D47" w:rsidP="00230D47">
      <w:pPr>
        <w:spacing w:after="120"/>
        <w:ind w:left="720"/>
        <w:jc w:val="both"/>
        <w:rPr>
          <w:rFonts w:cs="Times New Roman"/>
          <w:color w:val="000000" w:themeColor="text1"/>
          <w:sz w:val="24"/>
          <w:szCs w:val="24"/>
        </w:rPr>
      </w:pPr>
      <w:r w:rsidRPr="00230D47">
        <w:rPr>
          <w:rFonts w:cs="Times New Roman"/>
          <w:color w:val="000000" w:themeColor="text1"/>
          <w:sz w:val="24"/>
          <w:szCs w:val="24"/>
        </w:rPr>
        <w:t xml:space="preserve">Traditional networking relies on physically configuring VLANs and firewall rules on individual switches - slow and error-prone at scale. Software-Defined Networking (SDN) decouples the </w:t>
      </w:r>
      <w:r w:rsidRPr="00230D47">
        <w:rPr>
          <w:rFonts w:cs="Times New Roman"/>
          <w:color w:val="000000" w:themeColor="text1"/>
          <w:sz w:val="24"/>
          <w:szCs w:val="24"/>
        </w:rPr>
        <w:lastRenderedPageBreak/>
        <w:t>network control plane from physical switches, so network segments, firewall policies, and load balancers can be created, changed, and torn down entirely in software, directly tied to application lifecycle (e.g., an isolated network segment is spun up automatically whenever a new application is deployed).</w:t>
      </w:r>
    </w:p>
    <w:p w:rsidR="00230D47" w:rsidRPr="00230D47" w:rsidRDefault="00230D47" w:rsidP="00230D47">
      <w:pPr>
        <w:spacing w:before="160" w:after="80"/>
        <w:ind w:left="720"/>
        <w:jc w:val="both"/>
        <w:rPr>
          <w:rFonts w:cs="Times New Roman"/>
          <w:color w:val="000000" w:themeColor="text1"/>
          <w:sz w:val="24"/>
          <w:szCs w:val="24"/>
        </w:rPr>
      </w:pPr>
      <w:r w:rsidRPr="00230D47">
        <w:rPr>
          <w:rFonts w:cs="Times New Roman"/>
          <w:b/>
          <w:bCs/>
          <w:color w:val="000000" w:themeColor="text1"/>
          <w:sz w:val="24"/>
          <w:szCs w:val="24"/>
        </w:rPr>
        <w:t>4. Overall Agility Improvement</w:t>
      </w:r>
    </w:p>
    <w:p w:rsidR="00230D47" w:rsidRPr="00230D47" w:rsidRDefault="00230D47" w:rsidP="00230D47">
      <w:pPr>
        <w:pStyle w:val="ListParagraph"/>
        <w:numPr>
          <w:ilvl w:val="0"/>
          <w:numId w:val="10"/>
        </w:numPr>
        <w:spacing w:after="60"/>
        <w:ind w:left="1224"/>
        <w:contextualSpacing w:val="0"/>
        <w:jc w:val="both"/>
        <w:rPr>
          <w:rFonts w:cs="Times New Roman"/>
          <w:color w:val="000000" w:themeColor="text1"/>
          <w:sz w:val="24"/>
          <w:szCs w:val="24"/>
        </w:rPr>
      </w:pPr>
      <w:r w:rsidRPr="00230D47">
        <w:rPr>
          <w:rFonts w:cs="Times New Roman"/>
          <w:color w:val="000000" w:themeColor="text1"/>
          <w:sz w:val="24"/>
          <w:szCs w:val="24"/>
        </w:rPr>
        <w:t>Provisioning time drops from days/weeks (manual hardware and network changes) to minutes (self-service, API-driven automation).</w:t>
      </w:r>
    </w:p>
    <w:p w:rsidR="00230D47" w:rsidRPr="00230D47" w:rsidRDefault="00230D47" w:rsidP="00230D47">
      <w:pPr>
        <w:pStyle w:val="ListParagraph"/>
        <w:numPr>
          <w:ilvl w:val="0"/>
          <w:numId w:val="10"/>
        </w:numPr>
        <w:spacing w:after="60"/>
        <w:ind w:left="1224"/>
        <w:contextualSpacing w:val="0"/>
        <w:jc w:val="both"/>
        <w:rPr>
          <w:rFonts w:cs="Times New Roman"/>
          <w:color w:val="000000" w:themeColor="text1"/>
          <w:sz w:val="24"/>
          <w:szCs w:val="24"/>
        </w:rPr>
      </w:pPr>
      <w:r w:rsidRPr="00230D47">
        <w:rPr>
          <w:rFonts w:cs="Times New Roman"/>
          <w:color w:val="000000" w:themeColor="text1"/>
          <w:sz w:val="24"/>
          <w:szCs w:val="24"/>
        </w:rPr>
        <w:t>A single orchestration/management layer gives unified visibility and policy control across compute, storage, and network, instead of three separate manual silos.</w:t>
      </w:r>
    </w:p>
    <w:p w:rsidR="00230D47" w:rsidRPr="00230D47" w:rsidRDefault="00230D47" w:rsidP="00230D47">
      <w:pPr>
        <w:pStyle w:val="ListParagraph"/>
        <w:numPr>
          <w:ilvl w:val="0"/>
          <w:numId w:val="10"/>
        </w:numPr>
        <w:spacing w:after="60"/>
        <w:ind w:left="1224"/>
        <w:contextualSpacing w:val="0"/>
        <w:jc w:val="both"/>
        <w:rPr>
          <w:rFonts w:cs="Times New Roman"/>
          <w:color w:val="000000" w:themeColor="text1"/>
          <w:sz w:val="24"/>
          <w:szCs w:val="24"/>
        </w:rPr>
      </w:pPr>
      <w:r w:rsidRPr="00230D47">
        <w:rPr>
          <w:rFonts w:cs="Times New Roman"/>
          <w:color w:val="000000" w:themeColor="text1"/>
          <w:sz w:val="24"/>
          <w:szCs w:val="24"/>
        </w:rPr>
        <w:t>Elastic scaling becomes possible: resource pools grow or shrink automatically with demand, unlike fixed-capacity physical hardware.</w:t>
      </w:r>
    </w:p>
    <w:p w:rsidR="00230D47" w:rsidRPr="00230D47" w:rsidRDefault="00230D47" w:rsidP="00230D47">
      <w:pPr>
        <w:pStyle w:val="ListParagraph"/>
        <w:numPr>
          <w:ilvl w:val="0"/>
          <w:numId w:val="10"/>
        </w:numPr>
        <w:spacing w:after="60"/>
        <w:ind w:left="1224"/>
        <w:contextualSpacing w:val="0"/>
        <w:jc w:val="both"/>
        <w:rPr>
          <w:rFonts w:cs="Times New Roman"/>
          <w:color w:val="000000" w:themeColor="text1"/>
          <w:sz w:val="24"/>
          <w:szCs w:val="24"/>
        </w:rPr>
      </w:pPr>
      <w:r w:rsidRPr="00230D47">
        <w:rPr>
          <w:rFonts w:cs="Times New Roman"/>
          <w:color w:val="000000" w:themeColor="text1"/>
          <w:sz w:val="24"/>
          <w:szCs w:val="24"/>
        </w:rPr>
        <w:t xml:space="preserve">Infrastructure-as-code practices become viable, enabling repeatable, auditable, and faster deployments that directly support </w:t>
      </w:r>
      <w:proofErr w:type="spellStart"/>
      <w:r w:rsidRPr="00230D47">
        <w:rPr>
          <w:rFonts w:cs="Times New Roman"/>
          <w:color w:val="000000" w:themeColor="text1"/>
          <w:sz w:val="24"/>
          <w:szCs w:val="24"/>
        </w:rPr>
        <w:t>DevOps</w:t>
      </w:r>
      <w:proofErr w:type="spellEnd"/>
      <w:r w:rsidRPr="00230D47">
        <w:rPr>
          <w:rFonts w:cs="Times New Roman"/>
          <w:color w:val="000000" w:themeColor="text1"/>
          <w:sz w:val="24"/>
          <w:szCs w:val="24"/>
        </w:rPr>
        <w:t>/CI-CD workflows.</w:t>
      </w:r>
    </w:p>
    <w:p w:rsidR="00230D47" w:rsidRPr="00230D47" w:rsidRDefault="00230D47" w:rsidP="00230D47">
      <w:pPr>
        <w:pStyle w:val="ListNumber"/>
        <w:numPr>
          <w:ilvl w:val="0"/>
          <w:numId w:val="0"/>
        </w:numPr>
        <w:ind w:left="360"/>
        <w:jc w:val="both"/>
        <w:rPr>
          <w:rFonts w:cs="Times New Roman"/>
          <w:color w:val="000000" w:themeColor="text1"/>
          <w:sz w:val="24"/>
          <w:szCs w:val="24"/>
        </w:rPr>
      </w:pPr>
    </w:p>
    <w:p w:rsidR="004A0A92" w:rsidRPr="00230D47" w:rsidRDefault="008D17B4" w:rsidP="00230D47">
      <w:pPr>
        <w:pStyle w:val="ListNumber"/>
        <w:jc w:val="both"/>
        <w:rPr>
          <w:rFonts w:cs="Times New Roman"/>
          <w:color w:val="000000" w:themeColor="text1"/>
          <w:sz w:val="24"/>
          <w:szCs w:val="24"/>
        </w:rPr>
      </w:pPr>
      <w:r w:rsidRPr="00230D47">
        <w:rPr>
          <w:rFonts w:cs="Times New Roman"/>
          <w:color w:val="000000" w:themeColor="text1"/>
          <w:sz w:val="24"/>
          <w:szCs w:val="24"/>
        </w:rPr>
        <w:t>A multi-cloud federation project fails due to identity mismatches between providers. Analyze the issue and propose a secure identity and privacy design using federation concepts.</w:t>
      </w:r>
    </w:p>
    <w:p w:rsidR="00230D47" w:rsidRPr="00230D47" w:rsidRDefault="00230D47" w:rsidP="00230D47">
      <w:pPr>
        <w:pStyle w:val="ListNumber"/>
        <w:numPr>
          <w:ilvl w:val="0"/>
          <w:numId w:val="0"/>
        </w:numPr>
        <w:ind w:left="360"/>
        <w:jc w:val="both"/>
        <w:rPr>
          <w:rFonts w:cs="Times New Roman"/>
          <w:color w:val="000000" w:themeColor="text1"/>
          <w:sz w:val="24"/>
          <w:szCs w:val="24"/>
        </w:rPr>
      </w:pPr>
      <w:r w:rsidRPr="00230D47">
        <w:rPr>
          <w:rFonts w:cs="Times New Roman"/>
          <w:color w:val="000000" w:themeColor="text1"/>
          <w:sz w:val="24"/>
          <w:szCs w:val="24"/>
        </w:rPr>
        <w:t>Answer:</w:t>
      </w:r>
    </w:p>
    <w:p w:rsidR="00230D47" w:rsidRPr="00230D47" w:rsidRDefault="00230D47" w:rsidP="00230D47">
      <w:pPr>
        <w:spacing w:after="120"/>
        <w:jc w:val="both"/>
        <w:rPr>
          <w:rFonts w:cs="Times New Roman"/>
          <w:color w:val="000000" w:themeColor="text1"/>
          <w:sz w:val="24"/>
          <w:szCs w:val="24"/>
        </w:rPr>
      </w:pPr>
      <w:r w:rsidRPr="00230D47">
        <w:rPr>
          <w:rFonts w:cs="Times New Roman"/>
          <w:color w:val="000000" w:themeColor="text1"/>
          <w:sz w:val="24"/>
          <w:szCs w:val="24"/>
        </w:rPr>
        <w:t xml:space="preserve">                   </w:t>
      </w:r>
      <w:r w:rsidRPr="00230D47">
        <w:rPr>
          <w:rFonts w:cs="Times New Roman"/>
          <w:color w:val="000000" w:themeColor="text1"/>
          <w:sz w:val="24"/>
          <w:szCs w:val="24"/>
        </w:rPr>
        <w:t>A multi-cloud federation project has failed because identity information does not match consistently between the different cloud providers involved.</w:t>
      </w:r>
    </w:p>
    <w:p w:rsidR="00230D47" w:rsidRPr="00230D47" w:rsidRDefault="00230D47" w:rsidP="00230D47">
      <w:pPr>
        <w:spacing w:before="160" w:after="80"/>
        <w:ind w:left="1152"/>
        <w:jc w:val="both"/>
        <w:rPr>
          <w:rFonts w:cs="Times New Roman"/>
          <w:color w:val="000000" w:themeColor="text1"/>
          <w:sz w:val="24"/>
          <w:szCs w:val="24"/>
        </w:rPr>
      </w:pPr>
      <w:r w:rsidRPr="00230D47">
        <w:rPr>
          <w:rFonts w:cs="Times New Roman"/>
          <w:b/>
          <w:bCs/>
          <w:color w:val="000000" w:themeColor="text1"/>
          <w:sz w:val="24"/>
          <w:szCs w:val="24"/>
        </w:rPr>
        <w:t>1. Analysis of the Root Issue</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color w:val="000000" w:themeColor="text1"/>
          <w:sz w:val="24"/>
          <w:szCs w:val="24"/>
        </w:rPr>
        <w:t>Each cloud provider maintains its own identity store (AWS IAM, Azure AD, GCP IAM) with different attribute names, role definitions, and token formats, so a user's identity does not translate cleanly from one provider to another.</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color w:val="000000" w:themeColor="text1"/>
          <w:sz w:val="24"/>
          <w:szCs w:val="24"/>
        </w:rPr>
        <w:t>Without a common trust anchor, providers cannot verify who is authenticating on another provider's behalf, leading to failed logins, duplicated accounts, or - worse - overly permissive fallback access being granted.</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color w:val="000000" w:themeColor="text1"/>
          <w:sz w:val="24"/>
          <w:szCs w:val="24"/>
        </w:rPr>
        <w:t>Inconsistent attribute/claim mapping (e.g., a 'department' claim meaning different things in each system) causes authorization decisions to be wrong even when authentication itself succeeds.</w:t>
      </w:r>
    </w:p>
    <w:p w:rsidR="00230D47" w:rsidRPr="00230D47" w:rsidRDefault="00230D47" w:rsidP="00230D47">
      <w:pPr>
        <w:spacing w:before="120" w:after="120"/>
        <w:ind w:left="1152"/>
        <w:jc w:val="both"/>
        <w:rPr>
          <w:rFonts w:cs="Times New Roman"/>
          <w:color w:val="000000" w:themeColor="text1"/>
          <w:sz w:val="24"/>
          <w:szCs w:val="24"/>
        </w:rPr>
      </w:pPr>
      <w:r w:rsidRPr="00230D47">
        <w:rPr>
          <w:rFonts w:cs="Times New Roman"/>
          <w:noProof/>
          <w:color w:val="000000" w:themeColor="text1"/>
          <w:sz w:val="24"/>
          <w:szCs w:val="24"/>
        </w:rPr>
        <w:lastRenderedPageBreak/>
        <w:drawing>
          <wp:inline distT="0" distB="0" distL="0" distR="0" wp14:anchorId="48A3AFDA" wp14:editId="4A9E0E98">
            <wp:extent cx="576072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657600"/>
                    </a:xfrm>
                    <a:prstGeom prst="rect">
                      <a:avLst/>
                    </a:prstGeom>
                  </pic:spPr>
                </pic:pic>
              </a:graphicData>
            </a:graphic>
          </wp:inline>
        </w:drawing>
      </w:r>
    </w:p>
    <w:p w:rsidR="00230D47" w:rsidRPr="00230D47" w:rsidRDefault="00230D47" w:rsidP="00230D47">
      <w:pPr>
        <w:ind w:left="1152"/>
        <w:jc w:val="both"/>
        <w:rPr>
          <w:rFonts w:cs="Times New Roman"/>
          <w:color w:val="000000" w:themeColor="text1"/>
          <w:sz w:val="24"/>
          <w:szCs w:val="24"/>
        </w:rPr>
      </w:pPr>
      <w:r w:rsidRPr="00230D47">
        <w:rPr>
          <w:rFonts w:cs="Times New Roman"/>
          <w:i/>
          <w:iCs/>
          <w:color w:val="000000" w:themeColor="text1"/>
          <w:sz w:val="24"/>
          <w:szCs w:val="24"/>
        </w:rPr>
        <w:t>Figure 5.1: Federated identity design using a central identity broker trusted by every cloud provider.</w:t>
      </w:r>
    </w:p>
    <w:p w:rsidR="00230D47" w:rsidRPr="00230D47" w:rsidRDefault="00230D47" w:rsidP="00230D47">
      <w:pPr>
        <w:spacing w:before="160" w:after="80"/>
        <w:ind w:left="1152"/>
        <w:jc w:val="both"/>
        <w:rPr>
          <w:rFonts w:cs="Times New Roman"/>
          <w:color w:val="000000" w:themeColor="text1"/>
          <w:sz w:val="24"/>
          <w:szCs w:val="24"/>
        </w:rPr>
      </w:pPr>
      <w:r w:rsidRPr="00230D47">
        <w:rPr>
          <w:rFonts w:cs="Times New Roman"/>
          <w:b/>
          <w:bCs/>
          <w:color w:val="000000" w:themeColor="text1"/>
          <w:sz w:val="24"/>
          <w:szCs w:val="24"/>
        </w:rPr>
        <w:t>2. Proposed Secure Identity and Privacy Design</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Central Identity Broker / Identity Provider (</w:t>
      </w:r>
      <w:proofErr w:type="spellStart"/>
      <w:proofErr w:type="gramStart"/>
      <w:r w:rsidRPr="00230D47">
        <w:rPr>
          <w:rFonts w:cs="Times New Roman"/>
          <w:b/>
          <w:bCs/>
          <w:color w:val="000000" w:themeColor="text1"/>
          <w:sz w:val="24"/>
          <w:szCs w:val="24"/>
        </w:rPr>
        <w:t>IdP</w:t>
      </w:r>
      <w:proofErr w:type="spellEnd"/>
      <w:proofErr w:type="gramEnd"/>
      <w:r w:rsidRPr="00230D47">
        <w:rPr>
          <w:rFonts w:cs="Times New Roman"/>
          <w:b/>
          <w:bCs/>
          <w:color w:val="000000" w:themeColor="text1"/>
          <w:sz w:val="24"/>
          <w:szCs w:val="24"/>
        </w:rPr>
        <w:t xml:space="preserve">): </w:t>
      </w:r>
      <w:r w:rsidRPr="00230D47">
        <w:rPr>
          <w:rFonts w:cs="Times New Roman"/>
          <w:color w:val="000000" w:themeColor="text1"/>
          <w:sz w:val="24"/>
          <w:szCs w:val="24"/>
        </w:rPr>
        <w:t xml:space="preserve">Introduce one authoritative </w:t>
      </w:r>
      <w:proofErr w:type="spellStart"/>
      <w:r w:rsidRPr="00230D47">
        <w:rPr>
          <w:rFonts w:cs="Times New Roman"/>
          <w:color w:val="000000" w:themeColor="text1"/>
          <w:sz w:val="24"/>
          <w:szCs w:val="24"/>
        </w:rPr>
        <w:t>IdP</w:t>
      </w:r>
      <w:proofErr w:type="spellEnd"/>
      <w:r w:rsidRPr="00230D47">
        <w:rPr>
          <w:rFonts w:cs="Times New Roman"/>
          <w:color w:val="000000" w:themeColor="text1"/>
          <w:sz w:val="24"/>
          <w:szCs w:val="24"/>
        </w:rPr>
        <w:t xml:space="preserve"> that all clouds trust, using open federation standards - SAML 2.0 for enterprise SSO or </w:t>
      </w:r>
      <w:proofErr w:type="spellStart"/>
      <w:r w:rsidRPr="00230D47">
        <w:rPr>
          <w:rFonts w:cs="Times New Roman"/>
          <w:color w:val="000000" w:themeColor="text1"/>
          <w:sz w:val="24"/>
          <w:szCs w:val="24"/>
        </w:rPr>
        <w:t>OAuth</w:t>
      </w:r>
      <w:proofErr w:type="spellEnd"/>
      <w:r w:rsidRPr="00230D47">
        <w:rPr>
          <w:rFonts w:cs="Times New Roman"/>
          <w:color w:val="000000" w:themeColor="text1"/>
          <w:sz w:val="24"/>
          <w:szCs w:val="24"/>
        </w:rPr>
        <w:t xml:space="preserve"> 2.0/</w:t>
      </w:r>
      <w:proofErr w:type="spellStart"/>
      <w:r w:rsidRPr="00230D47">
        <w:rPr>
          <w:rFonts w:cs="Times New Roman"/>
          <w:color w:val="000000" w:themeColor="text1"/>
          <w:sz w:val="24"/>
          <w:szCs w:val="24"/>
        </w:rPr>
        <w:t>OpenID</w:t>
      </w:r>
      <w:proofErr w:type="spellEnd"/>
      <w:r w:rsidRPr="00230D47">
        <w:rPr>
          <w:rFonts w:cs="Times New Roman"/>
          <w:color w:val="000000" w:themeColor="text1"/>
          <w:sz w:val="24"/>
          <w:szCs w:val="24"/>
        </w:rPr>
        <w:t xml:space="preserve"> Connect for token-based access - so users authenticate once centrally rather than maintaining separate credentials per cloud.</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Standardized claims/attribute mapping: </w:t>
      </w:r>
      <w:r w:rsidRPr="00230D47">
        <w:rPr>
          <w:rFonts w:cs="Times New Roman"/>
          <w:color w:val="000000" w:themeColor="text1"/>
          <w:sz w:val="24"/>
          <w:szCs w:val="24"/>
        </w:rPr>
        <w:t xml:space="preserve">Define a common schema for identity attributes (role, department, </w:t>
      </w:r>
      <w:proofErr w:type="gramStart"/>
      <w:r w:rsidRPr="00230D47">
        <w:rPr>
          <w:rFonts w:cs="Times New Roman"/>
          <w:color w:val="000000" w:themeColor="text1"/>
          <w:sz w:val="24"/>
          <w:szCs w:val="24"/>
        </w:rPr>
        <w:t>tenant</w:t>
      </w:r>
      <w:proofErr w:type="gramEnd"/>
      <w:r w:rsidRPr="00230D47">
        <w:rPr>
          <w:rFonts w:cs="Times New Roman"/>
          <w:color w:val="000000" w:themeColor="text1"/>
          <w:sz w:val="24"/>
          <w:szCs w:val="24"/>
        </w:rPr>
        <w:t>) and map each cloud provider's native identity format to this schema at the broker, eliminating mismatches.</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Short-lived, scoped tokens: </w:t>
      </w:r>
      <w:r w:rsidRPr="00230D47">
        <w:rPr>
          <w:rFonts w:cs="Times New Roman"/>
          <w:color w:val="000000" w:themeColor="text1"/>
          <w:sz w:val="24"/>
          <w:szCs w:val="24"/>
        </w:rPr>
        <w:t>Issue signed tokens with a defined audience (which cloud it is valid for), narrow scope (least privilege), and short expiry, reducing the blast radius if a token is intercepted.</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Consistent MFA and conditional access: </w:t>
      </w:r>
      <w:r w:rsidRPr="00230D47">
        <w:rPr>
          <w:rFonts w:cs="Times New Roman"/>
          <w:color w:val="000000" w:themeColor="text1"/>
          <w:sz w:val="24"/>
          <w:szCs w:val="24"/>
        </w:rPr>
        <w:t>Enforce multi-factor authentication and risk-based access policies centrally at the broker so security posture is uniform across all three clouds instead of varying per provider.</w:t>
      </w:r>
    </w:p>
    <w:p w:rsidR="00230D47" w:rsidRPr="00230D47" w:rsidRDefault="00230D47" w:rsidP="00230D47">
      <w:pPr>
        <w:pStyle w:val="ListParagraph"/>
        <w:numPr>
          <w:ilvl w:val="0"/>
          <w:numId w:val="10"/>
        </w:numPr>
        <w:spacing w:after="60"/>
        <w:ind w:left="1656"/>
        <w:contextualSpacing w:val="0"/>
        <w:jc w:val="both"/>
        <w:rPr>
          <w:rFonts w:cs="Times New Roman"/>
          <w:color w:val="000000" w:themeColor="text1"/>
          <w:sz w:val="24"/>
          <w:szCs w:val="24"/>
        </w:rPr>
      </w:pPr>
      <w:r w:rsidRPr="00230D47">
        <w:rPr>
          <w:rFonts w:cs="Times New Roman"/>
          <w:b/>
          <w:bCs/>
          <w:color w:val="000000" w:themeColor="text1"/>
          <w:sz w:val="24"/>
          <w:szCs w:val="24"/>
        </w:rPr>
        <w:t xml:space="preserve">Privacy protection: </w:t>
      </w:r>
      <w:r w:rsidRPr="00230D47">
        <w:rPr>
          <w:rFonts w:cs="Times New Roman"/>
          <w:color w:val="000000" w:themeColor="text1"/>
          <w:sz w:val="24"/>
          <w:szCs w:val="24"/>
        </w:rPr>
        <w:t>Share only the minimum identity attributes each cloud provider needs (data minimization), encrypt identity tokens/assertions in transit, and maintain a central, tamper-evident audit log of all cross-cloud authentication events for compliance and incident investigation.</w:t>
      </w:r>
    </w:p>
    <w:p w:rsidR="00230D47" w:rsidRPr="00230D47" w:rsidRDefault="00230D47" w:rsidP="00230D47">
      <w:pPr>
        <w:spacing w:before="160" w:after="80"/>
        <w:ind w:left="1152"/>
        <w:jc w:val="both"/>
        <w:rPr>
          <w:rFonts w:cs="Times New Roman"/>
          <w:color w:val="000000" w:themeColor="text1"/>
          <w:sz w:val="24"/>
          <w:szCs w:val="24"/>
        </w:rPr>
      </w:pPr>
      <w:r w:rsidRPr="00230D47">
        <w:rPr>
          <w:rFonts w:cs="Times New Roman"/>
          <w:b/>
          <w:bCs/>
          <w:color w:val="000000" w:themeColor="text1"/>
          <w:sz w:val="24"/>
          <w:szCs w:val="24"/>
        </w:rPr>
        <w:t>3. Outcome</w:t>
      </w:r>
    </w:p>
    <w:p w:rsidR="00230D47" w:rsidRPr="00230D47" w:rsidRDefault="00230D47" w:rsidP="00230D47">
      <w:pPr>
        <w:spacing w:after="120"/>
        <w:ind w:left="1152"/>
        <w:jc w:val="both"/>
        <w:rPr>
          <w:rFonts w:cs="Times New Roman"/>
          <w:color w:val="000000" w:themeColor="text1"/>
          <w:sz w:val="24"/>
          <w:szCs w:val="24"/>
        </w:rPr>
      </w:pPr>
      <w:r w:rsidRPr="00230D47">
        <w:rPr>
          <w:rFonts w:cs="Times New Roman"/>
          <w:color w:val="000000" w:themeColor="text1"/>
          <w:sz w:val="24"/>
          <w:szCs w:val="24"/>
        </w:rPr>
        <w:t xml:space="preserve">With a single federated identity broker as the trust anchor, every cloud provider verifies users against the same source of truth, attribute mismatches are resolved through standardized </w:t>
      </w:r>
      <w:r w:rsidRPr="00230D47">
        <w:rPr>
          <w:rFonts w:cs="Times New Roman"/>
          <w:color w:val="000000" w:themeColor="text1"/>
          <w:sz w:val="24"/>
          <w:szCs w:val="24"/>
        </w:rPr>
        <w:lastRenderedPageBreak/>
        <w:t>mapping, and access remains auditable and least-privilege - resolving the federation failure while improving overall security posture.</w:t>
      </w:r>
    </w:p>
    <w:p w:rsidR="00230D47" w:rsidRDefault="00230D47" w:rsidP="00230D47">
      <w:pPr>
        <w:pStyle w:val="ListNumber"/>
        <w:numPr>
          <w:ilvl w:val="0"/>
          <w:numId w:val="0"/>
        </w:numPr>
        <w:ind w:left="360"/>
      </w:pPr>
    </w:p>
    <w:p w:rsidR="004A0A92" w:rsidRDefault="004A0A92">
      <w:pPr>
        <w:spacing w:after="40" w:line="240" w:lineRule="auto"/>
      </w:pPr>
    </w:p>
    <w:p w:rsidR="00B91B36" w:rsidRDefault="00B91B36">
      <w:pPr>
        <w:spacing w:after="40" w:line="240" w:lineRule="auto"/>
        <w:rPr>
          <w:b/>
        </w:rPr>
      </w:pPr>
      <w:r>
        <w:rPr>
          <w:b/>
        </w:rPr>
        <w:br/>
      </w:r>
    </w:p>
    <w:p w:rsidR="00B91B36" w:rsidRDefault="00B91B36">
      <w:pPr>
        <w:rPr>
          <w:b/>
        </w:rPr>
      </w:pPr>
      <w:r>
        <w:rPr>
          <w:b/>
        </w:rPr>
        <w:br w:type="page"/>
      </w:r>
    </w:p>
    <w:p w:rsidR="004A0A92" w:rsidRDefault="008D17B4">
      <w:pPr>
        <w:spacing w:after="40" w:line="240" w:lineRule="auto"/>
        <w:rPr>
          <w:b/>
        </w:rPr>
      </w:pPr>
      <w:r>
        <w:rPr>
          <w:b/>
        </w:rPr>
        <w:lastRenderedPageBreak/>
        <w:t>Analytical Problem Solving Rubric</w:t>
      </w:r>
    </w:p>
    <w:p w:rsidR="00B91B36" w:rsidRDefault="00B91B36">
      <w:pPr>
        <w:spacing w:after="40" w:line="240" w:lineRule="auto"/>
      </w:pPr>
    </w:p>
    <w:tbl>
      <w:tblPr>
        <w:tblStyle w:val="TableGrid"/>
        <w:tblW w:w="0" w:type="auto"/>
        <w:tblLook w:val="04A0" w:firstRow="1" w:lastRow="0" w:firstColumn="1" w:lastColumn="0" w:noHBand="0" w:noVBand="1"/>
      </w:tblPr>
      <w:tblGrid>
        <w:gridCol w:w="1706"/>
        <w:gridCol w:w="1704"/>
        <w:gridCol w:w="1705"/>
        <w:gridCol w:w="1705"/>
        <w:gridCol w:w="1705"/>
        <w:gridCol w:w="1705"/>
      </w:tblGrid>
      <w:tr w:rsidR="004A0A92">
        <w:tc>
          <w:tcPr>
            <w:tcW w:w="1707" w:type="dxa"/>
            <w:shd w:val="clear" w:color="auto" w:fill="D9E2F3"/>
          </w:tcPr>
          <w:p w:rsidR="004A0A92" w:rsidRDefault="008D17B4">
            <w:r>
              <w:rPr>
                <w:b/>
                <w:sz w:val="20"/>
              </w:rPr>
              <w:t>Criteria</w:t>
            </w:r>
          </w:p>
        </w:tc>
        <w:tc>
          <w:tcPr>
            <w:tcW w:w="1707" w:type="dxa"/>
            <w:shd w:val="clear" w:color="auto" w:fill="D9E2F3"/>
          </w:tcPr>
          <w:p w:rsidR="004A0A92" w:rsidRDefault="008D17B4">
            <w:r>
              <w:rPr>
                <w:b/>
                <w:sz w:val="20"/>
              </w:rPr>
              <w:t>Weightage</w:t>
            </w:r>
          </w:p>
        </w:tc>
        <w:tc>
          <w:tcPr>
            <w:tcW w:w="1707" w:type="dxa"/>
            <w:shd w:val="clear" w:color="auto" w:fill="D9E2F3"/>
          </w:tcPr>
          <w:p w:rsidR="004A0A92" w:rsidRDefault="008D17B4">
            <w:r>
              <w:rPr>
                <w:b/>
                <w:sz w:val="20"/>
              </w:rPr>
              <w:t>Level 4 - Exemplary</w:t>
            </w:r>
          </w:p>
        </w:tc>
        <w:tc>
          <w:tcPr>
            <w:tcW w:w="1707" w:type="dxa"/>
            <w:shd w:val="clear" w:color="auto" w:fill="D9E2F3"/>
          </w:tcPr>
          <w:p w:rsidR="004A0A92" w:rsidRDefault="008D17B4">
            <w:r>
              <w:rPr>
                <w:b/>
                <w:sz w:val="20"/>
              </w:rPr>
              <w:t>Level 3 – Proficient</w:t>
            </w:r>
          </w:p>
        </w:tc>
        <w:tc>
          <w:tcPr>
            <w:tcW w:w="1707" w:type="dxa"/>
            <w:shd w:val="clear" w:color="auto" w:fill="D9E2F3"/>
          </w:tcPr>
          <w:p w:rsidR="004A0A92" w:rsidRDefault="008D17B4">
            <w:r>
              <w:rPr>
                <w:b/>
                <w:sz w:val="20"/>
              </w:rPr>
              <w:t>Level 2 - Developing</w:t>
            </w:r>
          </w:p>
        </w:tc>
        <w:tc>
          <w:tcPr>
            <w:tcW w:w="1707" w:type="dxa"/>
            <w:shd w:val="clear" w:color="auto" w:fill="D9E2F3"/>
          </w:tcPr>
          <w:p w:rsidR="004A0A92" w:rsidRDefault="008D17B4">
            <w:r>
              <w:rPr>
                <w:b/>
                <w:sz w:val="20"/>
              </w:rPr>
              <w:t>Level 1 - Beginning</w:t>
            </w:r>
          </w:p>
        </w:tc>
      </w:tr>
      <w:tr w:rsidR="004A0A92">
        <w:tc>
          <w:tcPr>
            <w:tcW w:w="1707" w:type="dxa"/>
          </w:tcPr>
          <w:p w:rsidR="004A0A92" w:rsidRDefault="008D17B4">
            <w:r>
              <w:rPr>
                <w:sz w:val="20"/>
              </w:rPr>
              <w:t>Problem Interpretation</w:t>
            </w:r>
          </w:p>
        </w:tc>
        <w:tc>
          <w:tcPr>
            <w:tcW w:w="1707" w:type="dxa"/>
          </w:tcPr>
          <w:p w:rsidR="004A0A92" w:rsidRDefault="008D17B4">
            <w:r>
              <w:rPr>
                <w:sz w:val="20"/>
              </w:rPr>
              <w:t>20%</w:t>
            </w:r>
          </w:p>
        </w:tc>
        <w:tc>
          <w:tcPr>
            <w:tcW w:w="1707" w:type="dxa"/>
          </w:tcPr>
          <w:p w:rsidR="004A0A92" w:rsidRDefault="008D17B4">
            <w:r>
              <w:rPr>
                <w:sz w:val="20"/>
              </w:rPr>
              <w:t>Interprets all technical requirements accurately</w:t>
            </w:r>
          </w:p>
        </w:tc>
        <w:tc>
          <w:tcPr>
            <w:tcW w:w="1707" w:type="dxa"/>
          </w:tcPr>
          <w:p w:rsidR="004A0A92" w:rsidRDefault="008D17B4">
            <w:r>
              <w:rPr>
                <w:sz w:val="20"/>
              </w:rPr>
              <w:t>Interprets most requirements correctly</w:t>
            </w:r>
          </w:p>
        </w:tc>
        <w:tc>
          <w:tcPr>
            <w:tcW w:w="1707" w:type="dxa"/>
          </w:tcPr>
          <w:p w:rsidR="004A0A92" w:rsidRDefault="008D17B4">
            <w:r>
              <w:rPr>
                <w:sz w:val="20"/>
              </w:rPr>
              <w:t>Partial interpretation</w:t>
            </w:r>
          </w:p>
        </w:tc>
        <w:tc>
          <w:tcPr>
            <w:tcW w:w="1707" w:type="dxa"/>
          </w:tcPr>
          <w:p w:rsidR="004A0A92" w:rsidRDefault="008D17B4">
            <w:r>
              <w:rPr>
                <w:sz w:val="20"/>
              </w:rPr>
              <w:t>Misinterprets the problem</w:t>
            </w:r>
          </w:p>
        </w:tc>
      </w:tr>
      <w:tr w:rsidR="004A0A92">
        <w:tc>
          <w:tcPr>
            <w:tcW w:w="1707" w:type="dxa"/>
          </w:tcPr>
          <w:p w:rsidR="004A0A92" w:rsidRDefault="008D17B4">
            <w:r>
              <w:rPr>
                <w:sz w:val="20"/>
              </w:rPr>
              <w:t>Analytical Reasoning</w:t>
            </w:r>
          </w:p>
        </w:tc>
        <w:tc>
          <w:tcPr>
            <w:tcW w:w="1707" w:type="dxa"/>
          </w:tcPr>
          <w:p w:rsidR="004A0A92" w:rsidRDefault="008D17B4">
            <w:r>
              <w:rPr>
                <w:sz w:val="20"/>
              </w:rPr>
              <w:t>25%</w:t>
            </w:r>
          </w:p>
        </w:tc>
        <w:tc>
          <w:tcPr>
            <w:tcW w:w="1707" w:type="dxa"/>
          </w:tcPr>
          <w:p w:rsidR="004A0A92" w:rsidRDefault="008D17B4">
            <w:r>
              <w:rPr>
                <w:sz w:val="20"/>
              </w:rPr>
              <w:t>Strong reasoning with clear cause-effect analysis</w:t>
            </w:r>
          </w:p>
        </w:tc>
        <w:tc>
          <w:tcPr>
            <w:tcW w:w="1707" w:type="dxa"/>
          </w:tcPr>
          <w:p w:rsidR="004A0A92" w:rsidRDefault="008D17B4">
            <w:r>
              <w:rPr>
                <w:sz w:val="20"/>
              </w:rPr>
              <w:t>Good reasoning with minor gaps</w:t>
            </w:r>
          </w:p>
        </w:tc>
        <w:tc>
          <w:tcPr>
            <w:tcW w:w="1707" w:type="dxa"/>
          </w:tcPr>
          <w:p w:rsidR="004A0A92" w:rsidRDefault="008D17B4">
            <w:r>
              <w:rPr>
                <w:sz w:val="20"/>
              </w:rPr>
              <w:t>Basic analysis only</w:t>
            </w:r>
          </w:p>
        </w:tc>
        <w:tc>
          <w:tcPr>
            <w:tcW w:w="1707" w:type="dxa"/>
          </w:tcPr>
          <w:p w:rsidR="004A0A92" w:rsidRDefault="008D17B4">
            <w:r>
              <w:rPr>
                <w:sz w:val="20"/>
              </w:rPr>
              <w:t>Weak or no analysis</w:t>
            </w:r>
          </w:p>
        </w:tc>
      </w:tr>
      <w:tr w:rsidR="004A0A92">
        <w:tc>
          <w:tcPr>
            <w:tcW w:w="1707" w:type="dxa"/>
          </w:tcPr>
          <w:p w:rsidR="004A0A92" w:rsidRDefault="008D17B4">
            <w:r>
              <w:rPr>
                <w:sz w:val="20"/>
              </w:rPr>
              <w:t>Method Selection</w:t>
            </w:r>
          </w:p>
        </w:tc>
        <w:tc>
          <w:tcPr>
            <w:tcW w:w="1707" w:type="dxa"/>
          </w:tcPr>
          <w:p w:rsidR="004A0A92" w:rsidRDefault="008D17B4">
            <w:r>
              <w:rPr>
                <w:sz w:val="20"/>
              </w:rPr>
              <w:t>20%</w:t>
            </w:r>
          </w:p>
        </w:tc>
        <w:tc>
          <w:tcPr>
            <w:tcW w:w="1707" w:type="dxa"/>
          </w:tcPr>
          <w:p w:rsidR="004A0A92" w:rsidRDefault="008D17B4">
            <w:r>
              <w:rPr>
                <w:sz w:val="20"/>
              </w:rPr>
              <w:t>Chooses highly appropriate virtualization and security concepts</w:t>
            </w:r>
          </w:p>
        </w:tc>
        <w:tc>
          <w:tcPr>
            <w:tcW w:w="1707" w:type="dxa"/>
          </w:tcPr>
          <w:p w:rsidR="004A0A92" w:rsidRDefault="008D17B4">
            <w:r>
              <w:rPr>
                <w:sz w:val="20"/>
              </w:rPr>
              <w:t>Chooses mostly suitable concepts</w:t>
            </w:r>
          </w:p>
        </w:tc>
        <w:tc>
          <w:tcPr>
            <w:tcW w:w="1707" w:type="dxa"/>
          </w:tcPr>
          <w:p w:rsidR="004A0A92" w:rsidRDefault="008D17B4">
            <w:r>
              <w:rPr>
                <w:sz w:val="20"/>
              </w:rPr>
              <w:t>Partially suitable concepts</w:t>
            </w:r>
          </w:p>
        </w:tc>
        <w:tc>
          <w:tcPr>
            <w:tcW w:w="1707" w:type="dxa"/>
          </w:tcPr>
          <w:p w:rsidR="004A0A92" w:rsidRDefault="008D17B4">
            <w:r>
              <w:rPr>
                <w:sz w:val="20"/>
              </w:rPr>
              <w:t>Inappropriate approach</w:t>
            </w:r>
          </w:p>
        </w:tc>
      </w:tr>
      <w:tr w:rsidR="004A0A92">
        <w:tc>
          <w:tcPr>
            <w:tcW w:w="1707" w:type="dxa"/>
          </w:tcPr>
          <w:p w:rsidR="004A0A92" w:rsidRDefault="008D17B4">
            <w:r>
              <w:rPr>
                <w:sz w:val="20"/>
              </w:rPr>
              <w:t>Solution Quality</w:t>
            </w:r>
          </w:p>
        </w:tc>
        <w:tc>
          <w:tcPr>
            <w:tcW w:w="1707" w:type="dxa"/>
          </w:tcPr>
          <w:p w:rsidR="004A0A92" w:rsidRDefault="008D17B4">
            <w:r>
              <w:rPr>
                <w:sz w:val="20"/>
              </w:rPr>
              <w:t>20%</w:t>
            </w:r>
          </w:p>
        </w:tc>
        <w:tc>
          <w:tcPr>
            <w:tcW w:w="1707" w:type="dxa"/>
          </w:tcPr>
          <w:p w:rsidR="004A0A92" w:rsidRDefault="008D17B4">
            <w:r>
              <w:rPr>
                <w:sz w:val="20"/>
              </w:rPr>
              <w:t>Provides feasible and technically sound solution</w:t>
            </w:r>
          </w:p>
        </w:tc>
        <w:tc>
          <w:tcPr>
            <w:tcW w:w="1707" w:type="dxa"/>
          </w:tcPr>
          <w:p w:rsidR="004A0A92" w:rsidRDefault="008D17B4">
            <w:r>
              <w:rPr>
                <w:sz w:val="20"/>
              </w:rPr>
              <w:t>Reasonable solution with minor issues</w:t>
            </w:r>
          </w:p>
        </w:tc>
        <w:tc>
          <w:tcPr>
            <w:tcW w:w="1707" w:type="dxa"/>
          </w:tcPr>
          <w:p w:rsidR="004A0A92" w:rsidRDefault="008D17B4">
            <w:r>
              <w:rPr>
                <w:sz w:val="20"/>
              </w:rPr>
              <w:t>Basic solution with limitations</w:t>
            </w:r>
          </w:p>
        </w:tc>
        <w:tc>
          <w:tcPr>
            <w:tcW w:w="1707" w:type="dxa"/>
          </w:tcPr>
          <w:p w:rsidR="004A0A92" w:rsidRDefault="008D17B4">
            <w:r>
              <w:rPr>
                <w:sz w:val="20"/>
              </w:rPr>
              <w:t>Unclear or invalid solution</w:t>
            </w:r>
          </w:p>
        </w:tc>
      </w:tr>
      <w:tr w:rsidR="004A0A92">
        <w:tc>
          <w:tcPr>
            <w:tcW w:w="1707" w:type="dxa"/>
          </w:tcPr>
          <w:p w:rsidR="004A0A92" w:rsidRDefault="008D17B4">
            <w:r>
              <w:rPr>
                <w:sz w:val="20"/>
              </w:rPr>
              <w:t>Presentation of Analysis</w:t>
            </w:r>
          </w:p>
        </w:tc>
        <w:tc>
          <w:tcPr>
            <w:tcW w:w="1707" w:type="dxa"/>
          </w:tcPr>
          <w:p w:rsidR="004A0A92" w:rsidRDefault="008D17B4">
            <w:r>
              <w:rPr>
                <w:sz w:val="20"/>
              </w:rPr>
              <w:t>15%</w:t>
            </w:r>
          </w:p>
        </w:tc>
        <w:tc>
          <w:tcPr>
            <w:tcW w:w="1707" w:type="dxa"/>
          </w:tcPr>
          <w:p w:rsidR="004A0A92" w:rsidRDefault="008D17B4">
            <w:r>
              <w:rPr>
                <w:sz w:val="20"/>
              </w:rPr>
              <w:t>Well-structured and technically precise</w:t>
            </w:r>
          </w:p>
        </w:tc>
        <w:tc>
          <w:tcPr>
            <w:tcW w:w="1707" w:type="dxa"/>
          </w:tcPr>
          <w:p w:rsidR="004A0A92" w:rsidRDefault="008D17B4">
            <w:r>
              <w:rPr>
                <w:sz w:val="20"/>
              </w:rPr>
              <w:t>Generally clear</w:t>
            </w:r>
          </w:p>
        </w:tc>
        <w:tc>
          <w:tcPr>
            <w:tcW w:w="1707" w:type="dxa"/>
          </w:tcPr>
          <w:p w:rsidR="004A0A92" w:rsidRDefault="008D17B4">
            <w:r>
              <w:rPr>
                <w:sz w:val="20"/>
              </w:rPr>
              <w:t>Somewhat unclear</w:t>
            </w:r>
          </w:p>
        </w:tc>
        <w:tc>
          <w:tcPr>
            <w:tcW w:w="1707" w:type="dxa"/>
          </w:tcPr>
          <w:p w:rsidR="004A0A92" w:rsidRDefault="008D17B4">
            <w:r>
              <w:rPr>
                <w:sz w:val="20"/>
              </w:rPr>
              <w:t>Difficult to follow</w:t>
            </w:r>
          </w:p>
        </w:tc>
      </w:tr>
    </w:tbl>
    <w:p w:rsidR="004A0A92" w:rsidRDefault="004A0A92"/>
    <w:p w:rsidR="00B91B36" w:rsidRDefault="00B91B36" w:rsidP="00B91B36">
      <w:pPr>
        <w:ind w:left="4320" w:firstLine="720"/>
      </w:pPr>
    </w:p>
    <w:p w:rsidR="00B91B36" w:rsidRPr="009B7897" w:rsidRDefault="00B91B36" w:rsidP="00B91B36">
      <w:pPr>
        <w:ind w:left="6480" w:firstLine="720"/>
        <w:rPr>
          <w:b/>
        </w:rPr>
      </w:pPr>
      <w:r w:rsidRPr="009B7897">
        <w:rPr>
          <w:b/>
        </w:rPr>
        <w:t xml:space="preserve">Total Marks </w:t>
      </w:r>
      <w:r w:rsidR="00B12575" w:rsidRPr="009B7897">
        <w:rPr>
          <w:b/>
        </w:rPr>
        <w:t>Awarded:</w:t>
      </w:r>
      <w:r w:rsidRPr="009B7897">
        <w:rPr>
          <w:b/>
        </w:rPr>
        <w:t xml:space="preserve"> </w:t>
      </w:r>
    </w:p>
    <w:sectPr w:rsidR="00B91B36" w:rsidRPr="009B7897"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E43170C"/>
    <w:multiLevelType w:val="hybridMultilevel"/>
    <w:tmpl w:val="C56687FC"/>
    <w:lvl w:ilvl="0" w:tplc="4516B74E">
      <w:start w:val="1"/>
      <w:numFmt w:val="bullet"/>
      <w:lvlText w:val="•"/>
      <w:lvlJc w:val="left"/>
      <w:pPr>
        <w:ind w:left="504" w:hanging="288"/>
      </w:pPr>
    </w:lvl>
    <w:lvl w:ilvl="1" w:tplc="D77C4D40">
      <w:numFmt w:val="decimal"/>
      <w:lvlText w:val=""/>
      <w:lvlJc w:val="left"/>
    </w:lvl>
    <w:lvl w:ilvl="2" w:tplc="1364699C">
      <w:numFmt w:val="decimal"/>
      <w:lvlText w:val=""/>
      <w:lvlJc w:val="left"/>
    </w:lvl>
    <w:lvl w:ilvl="3" w:tplc="F6CA27C2">
      <w:numFmt w:val="decimal"/>
      <w:lvlText w:val=""/>
      <w:lvlJc w:val="left"/>
    </w:lvl>
    <w:lvl w:ilvl="4" w:tplc="94D2E4EA">
      <w:numFmt w:val="decimal"/>
      <w:lvlText w:val=""/>
      <w:lvlJc w:val="left"/>
    </w:lvl>
    <w:lvl w:ilvl="5" w:tplc="888A921A">
      <w:numFmt w:val="decimal"/>
      <w:lvlText w:val=""/>
      <w:lvlJc w:val="left"/>
    </w:lvl>
    <w:lvl w:ilvl="6" w:tplc="875C3782">
      <w:numFmt w:val="decimal"/>
      <w:lvlText w:val=""/>
      <w:lvlJc w:val="left"/>
    </w:lvl>
    <w:lvl w:ilvl="7" w:tplc="D3CCB79E">
      <w:numFmt w:val="decimal"/>
      <w:lvlText w:val=""/>
      <w:lvlJc w:val="left"/>
    </w:lvl>
    <w:lvl w:ilvl="8" w:tplc="C86A09EC">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1D99"/>
    <w:rsid w:val="00230D47"/>
    <w:rsid w:val="0029639D"/>
    <w:rsid w:val="00326F90"/>
    <w:rsid w:val="004A0A92"/>
    <w:rsid w:val="00585A9F"/>
    <w:rsid w:val="006E7C98"/>
    <w:rsid w:val="008D17B4"/>
    <w:rsid w:val="009B7897"/>
    <w:rsid w:val="00AA1D8D"/>
    <w:rsid w:val="00B12575"/>
    <w:rsid w:val="00B47730"/>
    <w:rsid w:val="00B91B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D6DAED0-01DD-4F05-9962-775F3A0EB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EEA747-3331-42EB-920C-AEF1BED13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2304</Words>
  <Characters>13139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Sonaa.R</cp:lastModifiedBy>
  <cp:revision>4</cp:revision>
  <dcterms:created xsi:type="dcterms:W3CDTF">2026-08-01T05:11:00Z</dcterms:created>
  <dcterms:modified xsi:type="dcterms:W3CDTF">2026-08-01T05:12:00Z</dcterms:modified>
  <cp:category/>
</cp:coreProperties>
</file>