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7B8" w:rsidRPr="002B7716" w:rsidRDefault="00BA77B8" w:rsidP="00BA77B8">
      <w:pPr>
        <w:spacing w:after="40" w:line="240" w:lineRule="auto"/>
        <w:jc w:val="center"/>
        <w:rPr>
          <w:rFonts w:cs="Times New Roman"/>
          <w:sz w:val="24"/>
          <w:szCs w:val="24"/>
        </w:rPr>
      </w:pPr>
      <w:r w:rsidRPr="002B7716">
        <w:rPr>
          <w:rFonts w:cs="Times New Roman"/>
          <w:b/>
          <w:sz w:val="24"/>
          <w:szCs w:val="24"/>
        </w:rPr>
        <w:t>SIMATS ENGINEERING</w:t>
      </w:r>
    </w:p>
    <w:p w:rsidR="00BA77B8" w:rsidRPr="002B7716" w:rsidRDefault="00BA77B8" w:rsidP="00BA77B8">
      <w:pPr>
        <w:spacing w:after="40" w:line="240" w:lineRule="auto"/>
        <w:jc w:val="center"/>
        <w:rPr>
          <w:rFonts w:cs="Times New Roman"/>
          <w:sz w:val="24"/>
          <w:szCs w:val="24"/>
        </w:rPr>
      </w:pPr>
      <w:r w:rsidRPr="002B7716">
        <w:rPr>
          <w:rFonts w:cs="Times New Roman"/>
          <w:b/>
          <w:sz w:val="24"/>
          <w:szCs w:val="24"/>
        </w:rPr>
        <w:t>ASSESSMENT TOOL 3: Application Based Questions</w:t>
      </w:r>
    </w:p>
    <w:p w:rsidR="00BA77B8" w:rsidRPr="002B7716" w:rsidRDefault="00BA77B8" w:rsidP="00BA77B8">
      <w:pPr>
        <w:spacing w:after="40" w:line="240" w:lineRule="auto"/>
        <w:rPr>
          <w:rFonts w:cs="Times New Roman"/>
          <w:sz w:val="24"/>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BA77B8" w:rsidRPr="002B7716" w:rsidTr="004F37C6">
        <w:tc>
          <w:tcPr>
            <w:tcW w:w="2560" w:type="dxa"/>
          </w:tcPr>
          <w:p w:rsidR="00BA77B8" w:rsidRPr="002B7716" w:rsidRDefault="00BA77B8" w:rsidP="004F37C6">
            <w:pPr>
              <w:rPr>
                <w:rFonts w:cs="Times New Roman"/>
                <w:sz w:val="24"/>
                <w:szCs w:val="24"/>
              </w:rPr>
            </w:pPr>
            <w:r w:rsidRPr="002B7716">
              <w:rPr>
                <w:rFonts w:cs="Times New Roman"/>
                <w:b/>
                <w:sz w:val="24"/>
                <w:szCs w:val="24"/>
              </w:rPr>
              <w:t>COURSE NAME:</w:t>
            </w:r>
          </w:p>
        </w:tc>
        <w:tc>
          <w:tcPr>
            <w:tcW w:w="2560" w:type="dxa"/>
          </w:tcPr>
          <w:p w:rsidR="00BA77B8" w:rsidRPr="002B7716" w:rsidRDefault="00BA77B8" w:rsidP="004F37C6">
            <w:pPr>
              <w:rPr>
                <w:rFonts w:cs="Times New Roman"/>
                <w:sz w:val="24"/>
                <w:szCs w:val="24"/>
              </w:rPr>
            </w:pPr>
            <w:r w:rsidRPr="002B7716">
              <w:rPr>
                <w:rFonts w:cs="Times New Roman"/>
                <w:sz w:val="24"/>
                <w:szCs w:val="24"/>
              </w:rPr>
              <w:t>Cloud Computing and Big Data Analytics</w:t>
            </w:r>
          </w:p>
        </w:tc>
        <w:tc>
          <w:tcPr>
            <w:tcW w:w="2560" w:type="dxa"/>
          </w:tcPr>
          <w:p w:rsidR="00BA77B8" w:rsidRPr="002B7716" w:rsidRDefault="00BA77B8" w:rsidP="004F37C6">
            <w:pPr>
              <w:rPr>
                <w:rFonts w:cs="Times New Roman"/>
                <w:sz w:val="24"/>
                <w:szCs w:val="24"/>
              </w:rPr>
            </w:pPr>
            <w:r w:rsidRPr="002B7716">
              <w:rPr>
                <w:rFonts w:cs="Times New Roman"/>
                <w:b/>
                <w:sz w:val="24"/>
                <w:szCs w:val="24"/>
              </w:rPr>
              <w:t>COURSE CODE:</w:t>
            </w:r>
          </w:p>
        </w:tc>
        <w:tc>
          <w:tcPr>
            <w:tcW w:w="2560" w:type="dxa"/>
          </w:tcPr>
          <w:p w:rsidR="00BA77B8" w:rsidRPr="002B7716" w:rsidRDefault="00BA77B8" w:rsidP="004F37C6">
            <w:pPr>
              <w:rPr>
                <w:rFonts w:cs="Times New Roman"/>
                <w:sz w:val="24"/>
                <w:szCs w:val="24"/>
              </w:rPr>
            </w:pPr>
            <w:r w:rsidRPr="002B7716">
              <w:rPr>
                <w:rFonts w:cs="Times New Roman"/>
                <w:sz w:val="24"/>
                <w:szCs w:val="24"/>
              </w:rPr>
              <w:t>CSA15</w:t>
            </w:r>
            <w:r w:rsidR="00E13218">
              <w:rPr>
                <w:rFonts w:cs="Times New Roman"/>
                <w:sz w:val="24"/>
                <w:szCs w:val="24"/>
              </w:rPr>
              <w:t>06</w:t>
            </w:r>
            <w:bookmarkStart w:id="0" w:name="_GoBack"/>
            <w:bookmarkEnd w:id="0"/>
          </w:p>
        </w:tc>
      </w:tr>
    </w:tbl>
    <w:p w:rsidR="00BA77B8" w:rsidRPr="002B7716" w:rsidRDefault="00BA77B8" w:rsidP="00BA77B8">
      <w:pPr>
        <w:pBdr>
          <w:bottom w:val="single" w:sz="6" w:space="1" w:color="A6A6A6"/>
        </w:pBdr>
        <w:spacing w:after="240"/>
        <w:rPr>
          <w:rFonts w:cs="Times New Roman"/>
          <w:sz w:val="24"/>
          <w:szCs w:val="24"/>
        </w:rPr>
      </w:pPr>
    </w:p>
    <w:p w:rsidR="00BA77B8" w:rsidRPr="002B7716" w:rsidRDefault="00BA77B8" w:rsidP="00BA77B8">
      <w:pPr>
        <w:spacing w:after="40" w:line="240" w:lineRule="auto"/>
        <w:rPr>
          <w:rFonts w:cs="Times New Roman"/>
          <w:sz w:val="28"/>
          <w:szCs w:val="24"/>
        </w:rPr>
      </w:pPr>
      <w:r w:rsidRPr="002B7716">
        <w:rPr>
          <w:rFonts w:cs="Times New Roman"/>
          <w:sz w:val="28"/>
          <w:szCs w:val="24"/>
        </w:rPr>
        <w:t>COURSE OUTCOME COVERED</w:t>
      </w:r>
    </w:p>
    <w:p w:rsidR="00BA77B8" w:rsidRPr="002B7716" w:rsidRDefault="00BA77B8" w:rsidP="00BA77B8">
      <w:pPr>
        <w:spacing w:after="120"/>
        <w:rPr>
          <w:rFonts w:cs="Times New Roman"/>
          <w:sz w:val="28"/>
          <w:szCs w:val="24"/>
        </w:rPr>
      </w:pPr>
      <w:r w:rsidRPr="002B7716">
        <w:rPr>
          <w:rFonts w:cs="Times New Roman"/>
          <w:sz w:val="28"/>
          <w:szCs w:val="24"/>
        </w:rPr>
        <w:t>CO2: Analyze virtualization architectures to identify performance and security issues in cloud computing environments. (BL3)</w:t>
      </w:r>
    </w:p>
    <w:p w:rsidR="00BA77B8" w:rsidRPr="002B7716" w:rsidRDefault="00BA77B8" w:rsidP="00BA77B8">
      <w:pPr>
        <w:spacing w:after="40" w:line="240" w:lineRule="auto"/>
        <w:rPr>
          <w:rFonts w:cs="Times New Roman"/>
          <w:sz w:val="28"/>
          <w:szCs w:val="24"/>
        </w:rPr>
      </w:pPr>
      <w:r w:rsidRPr="002B7716">
        <w:rPr>
          <w:rFonts w:cs="Times New Roman"/>
          <w:sz w:val="28"/>
          <w:szCs w:val="24"/>
        </w:rPr>
        <w:t>Assessment Tool Weightage: 10%</w:t>
      </w:r>
    </w:p>
    <w:p w:rsidR="00BA77B8" w:rsidRPr="002B7716" w:rsidRDefault="00BA77B8" w:rsidP="00BA77B8">
      <w:pPr>
        <w:spacing w:after="40" w:line="240" w:lineRule="auto"/>
        <w:rPr>
          <w:rFonts w:cs="Times New Roman"/>
          <w:sz w:val="28"/>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BA77B8" w:rsidRPr="002B7716" w:rsidTr="004F37C6">
        <w:tc>
          <w:tcPr>
            <w:tcW w:w="5120" w:type="dxa"/>
          </w:tcPr>
          <w:p w:rsidR="00BA77B8" w:rsidRPr="002B7716" w:rsidRDefault="00BA77B8" w:rsidP="004F37C6">
            <w:pPr>
              <w:rPr>
                <w:rFonts w:cs="Times New Roman"/>
                <w:sz w:val="28"/>
                <w:szCs w:val="24"/>
              </w:rPr>
            </w:pPr>
            <w:r w:rsidRPr="002B7716">
              <w:rPr>
                <w:rFonts w:cs="Times New Roman"/>
                <w:sz w:val="28"/>
                <w:szCs w:val="24"/>
              </w:rPr>
              <w:t>Dave's Taxonomy: Manipulation (Level 2)</w:t>
            </w:r>
            <w:r w:rsidRPr="002B7716">
              <w:rPr>
                <w:rFonts w:cs="Times New Roman"/>
                <w:sz w:val="28"/>
                <w:szCs w:val="24"/>
              </w:rPr>
              <w:br/>
              <w:t>Question Count: 5</w:t>
            </w:r>
          </w:p>
        </w:tc>
        <w:tc>
          <w:tcPr>
            <w:tcW w:w="5120" w:type="dxa"/>
          </w:tcPr>
          <w:p w:rsidR="00BA77B8" w:rsidRPr="002B7716" w:rsidRDefault="00BA77B8" w:rsidP="004F37C6">
            <w:pPr>
              <w:jc w:val="right"/>
              <w:rPr>
                <w:rFonts w:cs="Times New Roman"/>
                <w:sz w:val="28"/>
                <w:szCs w:val="24"/>
              </w:rPr>
            </w:pPr>
            <w:r w:rsidRPr="002B7716">
              <w:rPr>
                <w:rFonts w:cs="Times New Roman"/>
                <w:sz w:val="28"/>
                <w:szCs w:val="24"/>
              </w:rPr>
              <w:t>Total Marks: 25</w:t>
            </w:r>
          </w:p>
        </w:tc>
      </w:tr>
    </w:tbl>
    <w:p w:rsidR="00BA77B8" w:rsidRPr="002B7716" w:rsidRDefault="00BA77B8" w:rsidP="00BA77B8">
      <w:pPr>
        <w:pBdr>
          <w:bottom w:val="single" w:sz="6" w:space="1" w:color="A6A6A6"/>
        </w:pBdr>
        <w:rPr>
          <w:rFonts w:cs="Times New Roman"/>
          <w:sz w:val="28"/>
          <w:szCs w:val="24"/>
        </w:rPr>
      </w:pPr>
    </w:p>
    <w:p w:rsidR="00BA77B8" w:rsidRPr="002B7716" w:rsidRDefault="00BA77B8" w:rsidP="00BA77B8">
      <w:pPr>
        <w:spacing w:after="40" w:line="240" w:lineRule="auto"/>
        <w:jc w:val="both"/>
        <w:rPr>
          <w:rFonts w:cs="Times New Roman"/>
          <w:sz w:val="28"/>
          <w:szCs w:val="24"/>
        </w:rPr>
      </w:pPr>
      <w:r w:rsidRPr="002B7716">
        <w:rPr>
          <w:rFonts w:cs="Times New Roman"/>
          <w:sz w:val="28"/>
          <w:szCs w:val="24"/>
        </w:rPr>
        <w:t>Code of Conduct</w:t>
      </w:r>
    </w:p>
    <w:p w:rsidR="00BA77B8" w:rsidRPr="002B7716" w:rsidRDefault="00BA77B8" w:rsidP="00BA77B8">
      <w:pPr>
        <w:spacing w:after="40" w:line="240" w:lineRule="auto"/>
        <w:jc w:val="both"/>
        <w:rPr>
          <w:rFonts w:cs="Times New Roman"/>
          <w:sz w:val="28"/>
          <w:szCs w:val="24"/>
        </w:rPr>
      </w:pPr>
      <w:r w:rsidRPr="002B7716">
        <w:rPr>
          <w:rFonts w:cs="Times New Roman"/>
          <w:sz w:val="28"/>
          <w:szCs w:val="24"/>
        </w:rPr>
        <w:t xml:space="preserve">I </w:t>
      </w:r>
      <w:r>
        <w:rPr>
          <w:rFonts w:cs="Times New Roman"/>
          <w:sz w:val="28"/>
          <w:szCs w:val="24"/>
        </w:rPr>
        <w:t>Logeshwaran R-192511175</w:t>
      </w:r>
      <w:r w:rsidRPr="002B7716">
        <w:rPr>
          <w:rFonts w:cs="Times New Roman"/>
          <w:sz w:val="28"/>
          <w:szCs w:val="24"/>
        </w:rPr>
        <w:t xml:space="preserve"> (Name / </w:t>
      </w:r>
      <w:proofErr w:type="spellStart"/>
      <w:r w:rsidRPr="002B7716">
        <w:rPr>
          <w:rFonts w:cs="Times New Roman"/>
          <w:sz w:val="28"/>
          <w:szCs w:val="24"/>
        </w:rPr>
        <w:t>Reg</w:t>
      </w:r>
      <w:proofErr w:type="spellEnd"/>
      <w:r w:rsidRPr="002B7716">
        <w:rPr>
          <w:rFonts w:cs="Times New Roman"/>
          <w:sz w:val="28"/>
          <w:szCs w:val="24"/>
        </w:rPr>
        <w:t xml:space="preserve"> No) certify that this submission is my original work and that I have adhered to the guidelines specified for this assessment.</w:t>
      </w:r>
    </w:p>
    <w:p w:rsidR="00BA77B8" w:rsidRPr="002B7716" w:rsidRDefault="00BA77B8" w:rsidP="00BA77B8">
      <w:pPr>
        <w:spacing w:after="40" w:line="240" w:lineRule="auto"/>
        <w:jc w:val="both"/>
        <w:rPr>
          <w:rFonts w:cs="Times New Roman"/>
          <w:sz w:val="28"/>
          <w:szCs w:val="24"/>
        </w:rPr>
      </w:pPr>
      <w:r w:rsidRPr="002B7716">
        <w:rPr>
          <w:rFonts w:cs="Times New Roman"/>
          <w:sz w:val="28"/>
          <w:szCs w:val="24"/>
        </w:rPr>
        <w:t>I understand that any violation of academic integrity rules will result in disciplinary action.</w:t>
      </w:r>
    </w:p>
    <w:p w:rsidR="00BA77B8" w:rsidRDefault="00BA77B8" w:rsidP="00BA77B8">
      <w:pPr>
        <w:spacing w:after="40" w:line="240" w:lineRule="auto"/>
        <w:jc w:val="both"/>
        <w:rPr>
          <w:rFonts w:cs="Times New Roman"/>
          <w:noProof/>
          <w:sz w:val="24"/>
          <w:szCs w:val="24"/>
          <w:lang w:val="en-IN" w:eastAsia="en-IN" w:bidi="ta-IN"/>
        </w:rPr>
      </w:pPr>
      <w:r w:rsidRPr="002B7716">
        <w:rPr>
          <w:rFonts w:cs="Times New Roman"/>
          <w:sz w:val="28"/>
          <w:szCs w:val="24"/>
        </w:rPr>
        <w:t xml:space="preserve">Signature of the student: </w:t>
      </w:r>
      <w:r>
        <w:rPr>
          <w:rFonts w:cs="Times New Roman"/>
          <w:noProof/>
          <w:sz w:val="24"/>
          <w:szCs w:val="24"/>
          <w:lang w:val="en-IN" w:eastAsia="en-IN" w:bidi="ta-IN"/>
        </w:rPr>
        <w:drawing>
          <wp:inline distT="0" distB="0" distL="0" distR="0" wp14:anchorId="01D7EB5B" wp14:editId="536CB755">
            <wp:extent cx="785447" cy="2132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ature.jpeg"/>
                    <pic:cNvPicPr/>
                  </pic:nvPicPr>
                  <pic:blipFill rotWithShape="1">
                    <a:blip r:embed="rId6">
                      <a:extLst>
                        <a:ext uri="{28A0092B-C50C-407E-A947-70E740481C1C}">
                          <a14:useLocalDpi xmlns:a14="http://schemas.microsoft.com/office/drawing/2010/main" val="0"/>
                        </a:ext>
                      </a:extLst>
                    </a:blip>
                    <a:srcRect l="30468" t="24836" r="27227" b="34391"/>
                    <a:stretch/>
                  </pic:blipFill>
                  <pic:spPr bwMode="auto">
                    <a:xfrm>
                      <a:off x="0" y="0"/>
                      <a:ext cx="838853" cy="227780"/>
                    </a:xfrm>
                    <a:prstGeom prst="rect">
                      <a:avLst/>
                    </a:prstGeom>
                    <a:ln>
                      <a:noFill/>
                    </a:ln>
                    <a:extLst>
                      <a:ext uri="{53640926-AAD7-44D8-BBD7-CCE9431645EC}">
                        <a14:shadowObscured xmlns:a14="http://schemas.microsoft.com/office/drawing/2010/main"/>
                      </a:ext>
                    </a:extLst>
                  </pic:spPr>
                </pic:pic>
              </a:graphicData>
            </a:graphic>
          </wp:inline>
        </w:drawing>
      </w:r>
    </w:p>
    <w:p w:rsidR="00BA77B8" w:rsidRPr="002B7716" w:rsidRDefault="00BA77B8" w:rsidP="00BA77B8">
      <w:pPr>
        <w:spacing w:after="40" w:line="240" w:lineRule="auto"/>
        <w:jc w:val="both"/>
        <w:rPr>
          <w:rFonts w:cs="Times New Roman"/>
          <w:sz w:val="24"/>
          <w:szCs w:val="24"/>
        </w:rPr>
      </w:pPr>
    </w:p>
    <w:p w:rsidR="001B136A" w:rsidRPr="002B7716" w:rsidRDefault="001B136A" w:rsidP="006B4DDF">
      <w:pPr>
        <w:spacing w:after="40" w:line="240" w:lineRule="auto"/>
        <w:rPr>
          <w:rFonts w:cs="Times New Roman"/>
          <w:sz w:val="24"/>
          <w:szCs w:val="24"/>
        </w:rPr>
      </w:pPr>
    </w:p>
    <w:p w:rsidR="001B136A" w:rsidRPr="002B7716" w:rsidRDefault="00081B1C" w:rsidP="006B4DDF">
      <w:pPr>
        <w:spacing w:after="40" w:line="240" w:lineRule="auto"/>
        <w:rPr>
          <w:rFonts w:cs="Times New Roman"/>
          <w:b/>
          <w:sz w:val="28"/>
          <w:szCs w:val="24"/>
        </w:rPr>
      </w:pPr>
      <w:r w:rsidRPr="002B7716">
        <w:rPr>
          <w:rFonts w:cs="Times New Roman"/>
          <w:b/>
          <w:sz w:val="28"/>
          <w:szCs w:val="24"/>
        </w:rPr>
        <w:t>Assessment Tasks</w:t>
      </w:r>
    </w:p>
    <w:p w:rsidR="002B7716" w:rsidRPr="002B7716" w:rsidRDefault="002B7716" w:rsidP="006B4DDF">
      <w:pPr>
        <w:spacing w:after="40" w:line="240" w:lineRule="auto"/>
        <w:rPr>
          <w:rFonts w:cs="Times New Roman"/>
          <w:sz w:val="24"/>
          <w:szCs w:val="24"/>
        </w:rPr>
      </w:pPr>
    </w:p>
    <w:p w:rsidR="001B136A" w:rsidRDefault="00081B1C" w:rsidP="006B4DDF">
      <w:pPr>
        <w:spacing w:after="40" w:line="240" w:lineRule="auto"/>
        <w:rPr>
          <w:rFonts w:cs="Times New Roman"/>
          <w:b/>
          <w:sz w:val="28"/>
          <w:szCs w:val="24"/>
        </w:rPr>
      </w:pPr>
      <w:r w:rsidRPr="002B7716">
        <w:rPr>
          <w:rFonts w:cs="Times New Roman"/>
          <w:b/>
          <w:sz w:val="28"/>
          <w:szCs w:val="24"/>
        </w:rPr>
        <w:t>Application Based Questions</w:t>
      </w:r>
    </w:p>
    <w:p w:rsidR="002B7716" w:rsidRPr="002B7716" w:rsidRDefault="002B7716" w:rsidP="006B4DDF">
      <w:pPr>
        <w:spacing w:after="40" w:line="240" w:lineRule="auto"/>
        <w:rPr>
          <w:rFonts w:cs="Times New Roman"/>
          <w:sz w:val="28"/>
          <w:szCs w:val="24"/>
        </w:rPr>
      </w:pPr>
    </w:p>
    <w:p w:rsidR="002B7716" w:rsidRPr="00C04174" w:rsidRDefault="002B7716" w:rsidP="006B4DDF">
      <w:pPr>
        <w:pStyle w:val="ListNumber"/>
        <w:jc w:val="both"/>
        <w:rPr>
          <w:rFonts w:cs="Times New Roman"/>
          <w:color w:val="000000" w:themeColor="text1"/>
          <w:sz w:val="28"/>
          <w:szCs w:val="28"/>
        </w:rPr>
      </w:pPr>
      <w:r w:rsidRPr="00C04174">
        <w:rPr>
          <w:rFonts w:cs="Times New Roman"/>
          <w:color w:val="000000" w:themeColor="text1"/>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rsidR="00C04174" w:rsidRPr="00C04174" w:rsidRDefault="00C04174" w:rsidP="006B4DDF">
      <w:pPr>
        <w:pStyle w:val="ListNumber"/>
        <w:numPr>
          <w:ilvl w:val="0"/>
          <w:numId w:val="0"/>
        </w:numPr>
        <w:ind w:left="360"/>
        <w:jc w:val="both"/>
        <w:rPr>
          <w:rFonts w:cs="Times New Roman"/>
          <w:color w:val="000000" w:themeColor="text1"/>
          <w:sz w:val="28"/>
          <w:szCs w:val="28"/>
        </w:rPr>
      </w:pPr>
      <w:r w:rsidRPr="00C04174">
        <w:rPr>
          <w:rFonts w:cs="Times New Roman"/>
          <w:color w:val="000000" w:themeColor="text1"/>
          <w:sz w:val="28"/>
          <w:szCs w:val="28"/>
        </w:rPr>
        <w:t>Answer:</w:t>
      </w:r>
    </w:p>
    <w:p w:rsidR="00C04174" w:rsidRPr="00C04174" w:rsidRDefault="00C04174" w:rsidP="006B4DDF">
      <w:pPr>
        <w:spacing w:after="120"/>
        <w:ind w:left="720" w:firstLine="720"/>
        <w:jc w:val="both"/>
        <w:rPr>
          <w:rFonts w:cs="Times New Roman"/>
          <w:color w:val="000000" w:themeColor="text1"/>
          <w:sz w:val="28"/>
          <w:szCs w:val="28"/>
        </w:rPr>
      </w:pPr>
      <w:r w:rsidRPr="00C04174">
        <w:rPr>
          <w:rFonts w:cs="Times New Roman"/>
          <w:color w:val="000000" w:themeColor="text1"/>
          <w:sz w:val="28"/>
          <w:szCs w:val="28"/>
        </w:rPr>
        <w:t xml:space="preserve"> A company faces unpredictable traffic spikes during seasonal sales and needs its infrastructure to handle demand efficiently without downtime.</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1. How Auto-Scaling and Load Balancing Handle the Spike</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Load balancing: </w:t>
      </w:r>
      <w:r w:rsidRPr="00C04174">
        <w:rPr>
          <w:rFonts w:cs="Times New Roman"/>
          <w:color w:val="000000" w:themeColor="text1"/>
          <w:sz w:val="28"/>
          <w:szCs w:val="28"/>
        </w:rPr>
        <w:t>A load balancer sits in front of the web/app tier and distributes incoming shopper requests evenly across all healthy server instances, so no single server gets overwhelmed while others sit idle.</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lastRenderedPageBreak/>
        <w:t xml:space="preserve">Auto-scaling: </w:t>
      </w:r>
      <w:r w:rsidRPr="00C04174">
        <w:rPr>
          <w:rFonts w:cs="Times New Roman"/>
          <w:color w:val="000000" w:themeColor="text1"/>
          <w:sz w:val="28"/>
          <w:szCs w:val="28"/>
        </w:rPr>
        <w:t>An auto-scaling group watches metrics like CPU utilization or request count and automatically launches new server instances when demand rises (e.g., during a flash sale) and terminates them once traffic falls back to normal - so capacity always matches demand instead of being fixed.</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Supporting layers: </w:t>
      </w:r>
      <w:r w:rsidRPr="00C04174">
        <w:rPr>
          <w:rFonts w:cs="Times New Roman"/>
          <w:color w:val="000000" w:themeColor="text1"/>
          <w:sz w:val="28"/>
          <w:szCs w:val="28"/>
        </w:rPr>
        <w:t xml:space="preserve">A cache (e.g., </w:t>
      </w:r>
      <w:proofErr w:type="spellStart"/>
      <w:r w:rsidRPr="00C04174">
        <w:rPr>
          <w:rFonts w:cs="Times New Roman"/>
          <w:color w:val="000000" w:themeColor="text1"/>
          <w:sz w:val="28"/>
          <w:szCs w:val="28"/>
        </w:rPr>
        <w:t>Redis</w:t>
      </w:r>
      <w:proofErr w:type="spellEnd"/>
      <w:r w:rsidRPr="00C04174">
        <w:rPr>
          <w:rFonts w:cs="Times New Roman"/>
          <w:color w:val="000000" w:themeColor="text1"/>
          <w:sz w:val="28"/>
          <w:szCs w:val="28"/>
        </w:rPr>
        <w:t>) in front of the database absorbs repeated reads of product/catalog data, and read replicas scale out database read capacity, preventing the database from becoming the bottleneck once the app tier has scaled.</w:t>
      </w:r>
    </w:p>
    <w:p w:rsidR="00C04174" w:rsidRPr="00C04174" w:rsidRDefault="00C04174" w:rsidP="006B4DDF">
      <w:pPr>
        <w:spacing w:before="120" w:after="120"/>
        <w:ind w:left="1440"/>
        <w:jc w:val="both"/>
        <w:rPr>
          <w:rFonts w:cs="Times New Roman"/>
          <w:color w:val="000000" w:themeColor="text1"/>
          <w:sz w:val="28"/>
          <w:szCs w:val="28"/>
        </w:rPr>
      </w:pPr>
      <w:r w:rsidRPr="00C04174">
        <w:rPr>
          <w:rFonts w:cs="Times New Roman"/>
          <w:noProof/>
          <w:color w:val="000000" w:themeColor="text1"/>
          <w:sz w:val="28"/>
          <w:szCs w:val="28"/>
          <w:lang w:val="en-IN" w:eastAsia="en-IN" w:bidi="ta-IN"/>
        </w:rPr>
        <w:drawing>
          <wp:inline distT="0" distB="0" distL="0" distR="0" wp14:anchorId="5C99CA20" wp14:editId="12EC1C72">
            <wp:extent cx="5760720" cy="374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749040"/>
                    </a:xfrm>
                    <a:prstGeom prst="rect">
                      <a:avLst/>
                    </a:prstGeom>
                  </pic:spPr>
                </pic:pic>
              </a:graphicData>
            </a:graphic>
          </wp:inline>
        </w:drawing>
      </w:r>
    </w:p>
    <w:p w:rsidR="00C04174" w:rsidRPr="00C04174" w:rsidRDefault="00C04174" w:rsidP="006B4DDF">
      <w:pPr>
        <w:ind w:left="1440"/>
        <w:jc w:val="both"/>
        <w:rPr>
          <w:rFonts w:cs="Times New Roman"/>
          <w:color w:val="000000" w:themeColor="text1"/>
          <w:sz w:val="28"/>
          <w:szCs w:val="28"/>
        </w:rPr>
      </w:pPr>
      <w:r w:rsidRPr="00C04174">
        <w:rPr>
          <w:rFonts w:cs="Times New Roman"/>
          <w:color w:val="000000" w:themeColor="text1"/>
          <w:sz w:val="28"/>
          <w:szCs w:val="28"/>
        </w:rPr>
        <w:t>Figure 1.1: Auto-scaling and load-balanced architecture for handling seasonal e-commerce traffic spikes.</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2. Reducing Downtime and Improving User Experience</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Load balancers perform health checks and instantly stop routing traffic to a failed instance, so a single server crash never causes a visible outage.</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Auto-scaling adds capacity proactively (or within minutes) instead of the site slowing to a crawl or timing out under load, keeping page-load and checkout times fast.</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Because scaling is automatic, the company avoids the two failure modes of fixed capacity: over-provisioning (wasted cost) or under-provisioning (crashes during the sale, the worst possible time).</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lastRenderedPageBreak/>
        <w:t>3. Role of Monitoring Tools</w:t>
      </w:r>
    </w:p>
    <w:p w:rsidR="00C04174" w:rsidRPr="00C04174" w:rsidRDefault="00C04174" w:rsidP="006B4DDF">
      <w:pPr>
        <w:spacing w:after="120"/>
        <w:ind w:left="1440"/>
        <w:jc w:val="both"/>
        <w:rPr>
          <w:rFonts w:cs="Times New Roman"/>
          <w:color w:val="000000" w:themeColor="text1"/>
          <w:sz w:val="28"/>
          <w:szCs w:val="28"/>
        </w:rPr>
      </w:pPr>
      <w:r w:rsidRPr="00C04174">
        <w:rPr>
          <w:rFonts w:cs="Times New Roman"/>
          <w:color w:val="000000" w:themeColor="text1"/>
          <w:sz w:val="28"/>
          <w:szCs w:val="28"/>
        </w:rPr>
        <w:t xml:space="preserve">Monitoring tools (e.g., Amazon </w:t>
      </w:r>
      <w:proofErr w:type="spellStart"/>
      <w:r w:rsidRPr="00C04174">
        <w:rPr>
          <w:rFonts w:cs="Times New Roman"/>
          <w:color w:val="000000" w:themeColor="text1"/>
          <w:sz w:val="28"/>
          <w:szCs w:val="28"/>
        </w:rPr>
        <w:t>CloudWatch</w:t>
      </w:r>
      <w:proofErr w:type="spellEnd"/>
      <w:r w:rsidRPr="00C04174">
        <w:rPr>
          <w:rFonts w:cs="Times New Roman"/>
          <w:color w:val="000000" w:themeColor="text1"/>
          <w:sz w:val="28"/>
          <w:szCs w:val="28"/>
        </w:rPr>
        <w:t xml:space="preserve">, </w:t>
      </w:r>
      <w:proofErr w:type="spellStart"/>
      <w:r w:rsidRPr="00C04174">
        <w:rPr>
          <w:rFonts w:cs="Times New Roman"/>
          <w:color w:val="000000" w:themeColor="text1"/>
          <w:sz w:val="28"/>
          <w:szCs w:val="28"/>
        </w:rPr>
        <w:t>Grafana</w:t>
      </w:r>
      <w:proofErr w:type="spellEnd"/>
      <w:r w:rsidRPr="00C04174">
        <w:rPr>
          <w:rFonts w:cs="Times New Roman"/>
          <w:color w:val="000000" w:themeColor="text1"/>
          <w:sz w:val="28"/>
          <w:szCs w:val="28"/>
        </w:rPr>
        <w:t>/Prometheus) are what make auto-scaling intelligent rather than reactive-too-late. They continuously track CPU, memory, request latency, and error rates, feed those metrics into the scaling policies that decide when to add or remove instances, and trigger alerts to the operations team if a scaling action itself is insufficient - enabling both automated response and human oversight during the highest-risk traffic windows.</w:t>
      </w:r>
    </w:p>
    <w:p w:rsidR="00C04174" w:rsidRPr="00C04174" w:rsidRDefault="00C04174" w:rsidP="006B4DDF">
      <w:pPr>
        <w:spacing w:before="120" w:after="160"/>
        <w:ind w:left="1560"/>
        <w:jc w:val="both"/>
        <w:rPr>
          <w:rFonts w:cs="Times New Roman"/>
          <w:color w:val="000000" w:themeColor="text1"/>
          <w:sz w:val="28"/>
          <w:szCs w:val="28"/>
        </w:rPr>
      </w:pPr>
      <w:r w:rsidRPr="00C04174">
        <w:rPr>
          <w:rFonts w:cs="Times New Roman"/>
          <w:color w:val="000000" w:themeColor="text1"/>
          <w:sz w:val="28"/>
          <w:szCs w:val="28"/>
        </w:rPr>
        <w:t xml:space="preserve">Real-World Example: During a </w:t>
      </w:r>
      <w:proofErr w:type="spellStart"/>
      <w:r w:rsidRPr="00C04174">
        <w:rPr>
          <w:rFonts w:cs="Times New Roman"/>
          <w:color w:val="000000" w:themeColor="text1"/>
          <w:sz w:val="28"/>
          <w:szCs w:val="28"/>
        </w:rPr>
        <w:t>Flipkart</w:t>
      </w:r>
      <w:proofErr w:type="spellEnd"/>
      <w:r w:rsidRPr="00C04174">
        <w:rPr>
          <w:rFonts w:cs="Times New Roman"/>
          <w:color w:val="000000" w:themeColor="text1"/>
          <w:sz w:val="28"/>
          <w:szCs w:val="28"/>
        </w:rPr>
        <w:t xml:space="preserve"> Big Billion Days or Amazon Great Indian Festival sale, traffic can jump 10-20x within minutes of the sale opening. Auto-scaling groups behind a load balancer allow the platform to add hundreds of server instances in near real time, while monitoring dashboards let engineers watch checkout latency and database load live, stepping in manually only if automated scaling policies fall behind the surge.</w:t>
      </w:r>
    </w:p>
    <w:p w:rsidR="00C04174" w:rsidRPr="00C04174" w:rsidRDefault="00C04174" w:rsidP="006B4DDF">
      <w:pPr>
        <w:pStyle w:val="ListNumber"/>
        <w:numPr>
          <w:ilvl w:val="0"/>
          <w:numId w:val="0"/>
        </w:numPr>
        <w:ind w:left="360"/>
        <w:jc w:val="both"/>
        <w:rPr>
          <w:rFonts w:cs="Times New Roman"/>
          <w:color w:val="000000" w:themeColor="text1"/>
          <w:sz w:val="28"/>
          <w:szCs w:val="28"/>
        </w:rPr>
      </w:pPr>
    </w:p>
    <w:p w:rsidR="002B7716" w:rsidRPr="00C04174" w:rsidRDefault="002B7716" w:rsidP="006B4DDF">
      <w:pPr>
        <w:pStyle w:val="ListNumber"/>
        <w:numPr>
          <w:ilvl w:val="0"/>
          <w:numId w:val="0"/>
        </w:numPr>
        <w:ind w:left="360"/>
        <w:jc w:val="both"/>
        <w:rPr>
          <w:rFonts w:cs="Times New Roman"/>
          <w:color w:val="000000" w:themeColor="text1"/>
          <w:sz w:val="28"/>
          <w:szCs w:val="28"/>
        </w:rPr>
      </w:pPr>
    </w:p>
    <w:p w:rsidR="002B7716" w:rsidRPr="00C04174" w:rsidRDefault="002B7716" w:rsidP="006B4DDF">
      <w:pPr>
        <w:pStyle w:val="ListNumber"/>
        <w:jc w:val="both"/>
        <w:rPr>
          <w:rFonts w:cs="Times New Roman"/>
          <w:color w:val="000000" w:themeColor="text1"/>
          <w:sz w:val="28"/>
          <w:szCs w:val="28"/>
        </w:rPr>
      </w:pPr>
      <w:r w:rsidRPr="00C04174">
        <w:rPr>
          <w:rFonts w:cs="Times New Roman"/>
          <w:color w:val="000000" w:themeColor="text1"/>
          <w:sz w:val="28"/>
          <w:szCs w:val="28"/>
        </w:rPr>
        <w:t>An organization wants to store large volumes of backup data securely in the cloud.</w:t>
      </w:r>
      <w:r w:rsidRPr="00C04174">
        <w:rPr>
          <w:rFonts w:cs="Times New Roman"/>
          <w:color w:val="000000" w:themeColor="text1"/>
          <w:sz w:val="28"/>
          <w:szCs w:val="28"/>
        </w:rPr>
        <w:br/>
        <w:t>Discuss how cloud storage solutions ensure durability and data redundancy.</w:t>
      </w:r>
      <w:r w:rsidRPr="00C04174">
        <w:rPr>
          <w:rFonts w:cs="Times New Roman"/>
          <w:color w:val="000000" w:themeColor="text1"/>
          <w:sz w:val="28"/>
          <w:szCs w:val="28"/>
        </w:rPr>
        <w:br/>
        <w:t>How can encryption and access control protect sensitive backup data?</w:t>
      </w:r>
      <w:r w:rsidRPr="00C04174">
        <w:rPr>
          <w:rFonts w:cs="Times New Roman"/>
          <w:color w:val="000000" w:themeColor="text1"/>
          <w:sz w:val="28"/>
          <w:szCs w:val="28"/>
        </w:rPr>
        <w:br/>
        <w:t>Explain the cost advantages compared to traditional storage systems.</w:t>
      </w:r>
      <w:r w:rsidRPr="00C04174">
        <w:rPr>
          <w:rFonts w:cs="Times New Roman"/>
          <w:color w:val="000000" w:themeColor="text1"/>
          <w:sz w:val="28"/>
          <w:szCs w:val="28"/>
        </w:rPr>
        <w:br/>
        <w:t>Provide an example of a disaster recovery use case.</w:t>
      </w:r>
    </w:p>
    <w:p w:rsidR="00C04174" w:rsidRPr="00C04174" w:rsidRDefault="00C04174" w:rsidP="006B4DDF">
      <w:pPr>
        <w:pStyle w:val="ListNumber"/>
        <w:numPr>
          <w:ilvl w:val="0"/>
          <w:numId w:val="0"/>
        </w:numPr>
        <w:ind w:left="360"/>
        <w:jc w:val="both"/>
        <w:rPr>
          <w:rFonts w:cs="Times New Roman"/>
          <w:color w:val="000000" w:themeColor="text1"/>
          <w:sz w:val="28"/>
          <w:szCs w:val="28"/>
        </w:rPr>
      </w:pPr>
      <w:r w:rsidRPr="00C04174">
        <w:rPr>
          <w:rFonts w:cs="Times New Roman"/>
          <w:color w:val="000000" w:themeColor="text1"/>
          <w:sz w:val="28"/>
          <w:szCs w:val="28"/>
        </w:rPr>
        <w:t>Answers:</w:t>
      </w:r>
    </w:p>
    <w:p w:rsidR="00C04174" w:rsidRPr="00C04174" w:rsidRDefault="00C04174" w:rsidP="006B4DDF">
      <w:pPr>
        <w:spacing w:after="120"/>
        <w:jc w:val="both"/>
        <w:rPr>
          <w:rFonts w:cs="Times New Roman"/>
          <w:color w:val="000000" w:themeColor="text1"/>
          <w:sz w:val="28"/>
          <w:szCs w:val="28"/>
        </w:rPr>
      </w:pPr>
      <w:r w:rsidRPr="00C04174">
        <w:rPr>
          <w:rFonts w:cs="Times New Roman"/>
          <w:color w:val="000000" w:themeColor="text1"/>
          <w:sz w:val="28"/>
          <w:szCs w:val="28"/>
        </w:rPr>
        <w:t xml:space="preserve">                    An organization wants to store large volumes of backup data securely in the cloud, with durability, protection, and cost-efficiency.</w:t>
      </w:r>
    </w:p>
    <w:p w:rsidR="00C04174" w:rsidRPr="00C04174" w:rsidRDefault="00C04174" w:rsidP="006B4DDF">
      <w:pPr>
        <w:spacing w:before="160" w:after="80"/>
        <w:ind w:left="1368"/>
        <w:jc w:val="both"/>
        <w:rPr>
          <w:rFonts w:cs="Times New Roman"/>
          <w:color w:val="000000" w:themeColor="text1"/>
          <w:sz w:val="28"/>
          <w:szCs w:val="28"/>
        </w:rPr>
      </w:pPr>
      <w:r w:rsidRPr="00C04174">
        <w:rPr>
          <w:rFonts w:cs="Times New Roman"/>
          <w:b/>
          <w:bCs/>
          <w:color w:val="000000" w:themeColor="text1"/>
          <w:sz w:val="28"/>
          <w:szCs w:val="28"/>
        </w:rPr>
        <w:t>1. Durability and Data Redundancy</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color w:val="000000" w:themeColor="text1"/>
          <w:sz w:val="28"/>
          <w:szCs w:val="28"/>
        </w:rPr>
        <w:t>Cloud storage services automatically replicate every object multiple times within a region (across separate Availability Zones), so the failure of a single disk, server, or even a whole data-center building does not cause data loss.</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color w:val="000000" w:themeColor="text1"/>
          <w:sz w:val="28"/>
          <w:szCs w:val="28"/>
        </w:rPr>
        <w:t>For additional protection, data can be replicated cross-region, so an entire region-level disaster still leaves a usable copy elsewhere.</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color w:val="000000" w:themeColor="text1"/>
          <w:sz w:val="28"/>
          <w:szCs w:val="28"/>
        </w:rPr>
        <w:t>This design is what allows cloud providers to advertise extremely high durability figures (often 99.999999999% - '11 nines') far beyond what a single on-premises disk array can achieve.</w:t>
      </w:r>
    </w:p>
    <w:p w:rsidR="00C04174" w:rsidRPr="00C04174" w:rsidRDefault="00C04174" w:rsidP="006B4DDF">
      <w:pPr>
        <w:spacing w:before="120" w:after="120"/>
        <w:ind w:left="1368"/>
        <w:jc w:val="both"/>
        <w:rPr>
          <w:rFonts w:cs="Times New Roman"/>
          <w:color w:val="000000" w:themeColor="text1"/>
          <w:sz w:val="28"/>
          <w:szCs w:val="28"/>
        </w:rPr>
      </w:pPr>
      <w:r w:rsidRPr="00C04174">
        <w:rPr>
          <w:rFonts w:cs="Times New Roman"/>
          <w:noProof/>
          <w:color w:val="000000" w:themeColor="text1"/>
          <w:sz w:val="28"/>
          <w:szCs w:val="28"/>
          <w:lang w:val="en-IN" w:eastAsia="en-IN" w:bidi="ta-IN"/>
        </w:rPr>
        <w:lastRenderedPageBreak/>
        <w:drawing>
          <wp:inline distT="0" distB="0" distL="0" distR="0" wp14:anchorId="070C0DB2" wp14:editId="747615B1">
            <wp:extent cx="5760720" cy="3749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749040"/>
                    </a:xfrm>
                    <a:prstGeom prst="rect">
                      <a:avLst/>
                    </a:prstGeom>
                  </pic:spPr>
                </pic:pic>
              </a:graphicData>
            </a:graphic>
          </wp:inline>
        </w:drawing>
      </w:r>
    </w:p>
    <w:p w:rsidR="00C04174" w:rsidRPr="00C04174" w:rsidRDefault="00C04174" w:rsidP="006B4DDF">
      <w:pPr>
        <w:ind w:left="1368"/>
        <w:jc w:val="both"/>
        <w:rPr>
          <w:rFonts w:cs="Times New Roman"/>
          <w:color w:val="000000" w:themeColor="text1"/>
          <w:sz w:val="28"/>
          <w:szCs w:val="28"/>
        </w:rPr>
      </w:pPr>
      <w:r w:rsidRPr="00C04174">
        <w:rPr>
          <w:rFonts w:cs="Times New Roman"/>
          <w:color w:val="000000" w:themeColor="text1"/>
          <w:sz w:val="28"/>
          <w:szCs w:val="28"/>
        </w:rPr>
        <w:t>Figure 2.1: Durable, redundant, and access-controlled cloud backup architecture.</w:t>
      </w:r>
    </w:p>
    <w:p w:rsidR="00C04174" w:rsidRPr="00C04174" w:rsidRDefault="00C04174" w:rsidP="006B4DDF">
      <w:pPr>
        <w:spacing w:before="160" w:after="80"/>
        <w:ind w:left="1368"/>
        <w:jc w:val="both"/>
        <w:rPr>
          <w:rFonts w:cs="Times New Roman"/>
          <w:color w:val="000000" w:themeColor="text1"/>
          <w:sz w:val="28"/>
          <w:szCs w:val="28"/>
        </w:rPr>
      </w:pPr>
      <w:r w:rsidRPr="00C04174">
        <w:rPr>
          <w:rFonts w:cs="Times New Roman"/>
          <w:b/>
          <w:bCs/>
          <w:color w:val="000000" w:themeColor="text1"/>
          <w:sz w:val="28"/>
          <w:szCs w:val="28"/>
        </w:rPr>
        <w:t>2. Protecting Sensitive Backup Data</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Encryption: </w:t>
      </w:r>
      <w:r w:rsidRPr="00C04174">
        <w:rPr>
          <w:rFonts w:cs="Times New Roman"/>
          <w:color w:val="000000" w:themeColor="text1"/>
          <w:sz w:val="28"/>
          <w:szCs w:val="28"/>
        </w:rPr>
        <w:t>Data is encrypted in transit (TLS) while being uploaded/downloaded, and encrypted at rest (AES-256) while stored, with encryption keys managed through a Key Management Service (KMS) so even the storage provider cannot read the raw backup content without authorization.</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Access control: </w:t>
      </w:r>
      <w:r w:rsidRPr="00C04174">
        <w:rPr>
          <w:rFonts w:cs="Times New Roman"/>
          <w:color w:val="000000" w:themeColor="text1"/>
          <w:sz w:val="28"/>
          <w:szCs w:val="28"/>
        </w:rPr>
        <w:t>Fine-grained IAM policies restrict who (which user, service, or application) can read, write, or delete specific backups, combined with multi-factor authentication and least-privilege roles, so a compromised low-level account cannot touch the entire backup set.</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Versioning and immutability: </w:t>
      </w:r>
      <w:r w:rsidRPr="00C04174">
        <w:rPr>
          <w:rFonts w:cs="Times New Roman"/>
          <w:color w:val="000000" w:themeColor="text1"/>
          <w:sz w:val="28"/>
          <w:szCs w:val="28"/>
        </w:rPr>
        <w:t>Object versioning and retention locks mean even an accidental or malicious delete/overwrite can be rolled back to a prior good version, rather than being permanently lost.</w:t>
      </w:r>
    </w:p>
    <w:p w:rsidR="00C04174" w:rsidRPr="00C04174" w:rsidRDefault="00C04174" w:rsidP="006B4DDF">
      <w:pPr>
        <w:spacing w:before="160" w:after="80"/>
        <w:ind w:left="1368"/>
        <w:jc w:val="both"/>
        <w:rPr>
          <w:rFonts w:cs="Times New Roman"/>
          <w:color w:val="000000" w:themeColor="text1"/>
          <w:sz w:val="28"/>
          <w:szCs w:val="28"/>
        </w:rPr>
      </w:pPr>
      <w:r w:rsidRPr="00C04174">
        <w:rPr>
          <w:rFonts w:cs="Times New Roman"/>
          <w:b/>
          <w:bCs/>
          <w:color w:val="000000" w:themeColor="text1"/>
          <w:sz w:val="28"/>
          <w:szCs w:val="28"/>
        </w:rPr>
        <w:t>3. Cost Advantages over Traditional Storage</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color w:val="000000" w:themeColor="text1"/>
          <w:sz w:val="28"/>
          <w:szCs w:val="28"/>
        </w:rPr>
        <w:t>No upfront capital expenditure on physical disk arrays, tape libraries, or a backup data center - pay only for storage actually used.</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color w:val="000000" w:themeColor="text1"/>
          <w:sz w:val="28"/>
          <w:szCs w:val="28"/>
        </w:rPr>
        <w:t xml:space="preserve">Automatic storage </w:t>
      </w:r>
      <w:proofErr w:type="spellStart"/>
      <w:r w:rsidRPr="00C04174">
        <w:rPr>
          <w:rFonts w:cs="Times New Roman"/>
          <w:color w:val="000000" w:themeColor="text1"/>
          <w:sz w:val="28"/>
          <w:szCs w:val="28"/>
        </w:rPr>
        <w:t>tiering</w:t>
      </w:r>
      <w:proofErr w:type="spellEnd"/>
      <w:r w:rsidRPr="00C04174">
        <w:rPr>
          <w:rFonts w:cs="Times New Roman"/>
          <w:color w:val="000000" w:themeColor="text1"/>
          <w:sz w:val="28"/>
          <w:szCs w:val="28"/>
        </w:rPr>
        <w:t xml:space="preserve"> moves older/rarely accessed backups to cheap cold or archive storage classes without manual intervention.</w:t>
      </w:r>
    </w:p>
    <w:p w:rsidR="00C04174" w:rsidRPr="00C04174" w:rsidRDefault="00C04174" w:rsidP="006B4DDF">
      <w:pPr>
        <w:pStyle w:val="ListParagraph"/>
        <w:numPr>
          <w:ilvl w:val="0"/>
          <w:numId w:val="10"/>
        </w:numPr>
        <w:spacing w:after="60"/>
        <w:ind w:left="1872"/>
        <w:contextualSpacing w:val="0"/>
        <w:jc w:val="both"/>
        <w:rPr>
          <w:rFonts w:cs="Times New Roman"/>
          <w:color w:val="000000" w:themeColor="text1"/>
          <w:sz w:val="28"/>
          <w:szCs w:val="28"/>
        </w:rPr>
      </w:pPr>
      <w:r w:rsidRPr="00C04174">
        <w:rPr>
          <w:rFonts w:cs="Times New Roman"/>
          <w:color w:val="000000" w:themeColor="text1"/>
          <w:sz w:val="28"/>
          <w:szCs w:val="28"/>
        </w:rPr>
        <w:lastRenderedPageBreak/>
        <w:t>Eliminates ongoing costs of hardware maintenance, power, cooling, and refresh cycles that traditional on-premises backup infrastructure requires.</w:t>
      </w:r>
    </w:p>
    <w:p w:rsidR="00C04174" w:rsidRPr="00C04174" w:rsidRDefault="00C04174" w:rsidP="006B4DDF">
      <w:pPr>
        <w:spacing w:before="120" w:after="160"/>
        <w:ind w:left="1488"/>
        <w:jc w:val="both"/>
        <w:rPr>
          <w:rFonts w:cs="Times New Roman"/>
          <w:color w:val="000000" w:themeColor="text1"/>
          <w:sz w:val="28"/>
          <w:szCs w:val="28"/>
        </w:rPr>
      </w:pPr>
      <w:r w:rsidRPr="00C04174">
        <w:rPr>
          <w:rFonts w:cs="Times New Roman"/>
          <w:color w:val="000000" w:themeColor="text1"/>
          <w:sz w:val="28"/>
          <w:szCs w:val="28"/>
        </w:rPr>
        <w:t xml:space="preserve">Real-World Example: A hospital chain backs up patient records nightly to cloud object storage with cross-region replication and versioning enabled. When a </w:t>
      </w:r>
      <w:proofErr w:type="spellStart"/>
      <w:r w:rsidRPr="00C04174">
        <w:rPr>
          <w:rFonts w:cs="Times New Roman"/>
          <w:color w:val="000000" w:themeColor="text1"/>
          <w:sz w:val="28"/>
          <w:szCs w:val="28"/>
        </w:rPr>
        <w:t>ransomware</w:t>
      </w:r>
      <w:proofErr w:type="spellEnd"/>
      <w:r w:rsidRPr="00C04174">
        <w:rPr>
          <w:rFonts w:cs="Times New Roman"/>
          <w:color w:val="000000" w:themeColor="text1"/>
          <w:sz w:val="28"/>
          <w:szCs w:val="28"/>
        </w:rPr>
        <w:t xml:space="preserve"> attack encrypts files on the primary on-premises server, the IT team restores from the previous day's immutable cloud backup - avoiding both data loss and any ransom payment, which is a classic disaster-recovery use case for cloud backup.</w:t>
      </w:r>
    </w:p>
    <w:p w:rsidR="00C04174" w:rsidRPr="00C04174" w:rsidRDefault="00C04174" w:rsidP="006B4DDF">
      <w:pPr>
        <w:spacing w:after="120"/>
        <w:jc w:val="both"/>
        <w:rPr>
          <w:rFonts w:cs="Times New Roman"/>
          <w:color w:val="000000" w:themeColor="text1"/>
          <w:sz w:val="28"/>
          <w:szCs w:val="28"/>
        </w:rPr>
      </w:pPr>
    </w:p>
    <w:p w:rsidR="00C04174" w:rsidRPr="00C04174" w:rsidRDefault="00C04174" w:rsidP="006B4DDF">
      <w:pPr>
        <w:pStyle w:val="ListNumber"/>
        <w:numPr>
          <w:ilvl w:val="0"/>
          <w:numId w:val="0"/>
        </w:numPr>
        <w:ind w:left="360"/>
        <w:jc w:val="both"/>
        <w:rPr>
          <w:rFonts w:cs="Times New Roman"/>
          <w:color w:val="000000" w:themeColor="text1"/>
          <w:sz w:val="28"/>
          <w:szCs w:val="28"/>
        </w:rPr>
      </w:pPr>
    </w:p>
    <w:p w:rsidR="002B7716" w:rsidRPr="00C04174" w:rsidRDefault="002B7716" w:rsidP="006B4DDF">
      <w:pPr>
        <w:pStyle w:val="ListNumber"/>
        <w:jc w:val="both"/>
        <w:rPr>
          <w:rFonts w:cs="Times New Roman"/>
          <w:color w:val="000000" w:themeColor="text1"/>
          <w:sz w:val="28"/>
          <w:szCs w:val="28"/>
        </w:rPr>
      </w:pPr>
      <w:r w:rsidRPr="00C04174">
        <w:rPr>
          <w:rFonts w:cs="Times New Roman"/>
          <w:color w:val="000000" w:themeColor="text1"/>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rsidR="00C04174" w:rsidRPr="00C04174" w:rsidRDefault="00C04174" w:rsidP="006B4DDF">
      <w:pPr>
        <w:pStyle w:val="ListNumber"/>
        <w:numPr>
          <w:ilvl w:val="0"/>
          <w:numId w:val="0"/>
        </w:numPr>
        <w:ind w:left="360"/>
        <w:jc w:val="both"/>
        <w:rPr>
          <w:rFonts w:cs="Times New Roman"/>
          <w:color w:val="000000" w:themeColor="text1"/>
          <w:sz w:val="28"/>
          <w:szCs w:val="28"/>
        </w:rPr>
      </w:pPr>
      <w:r w:rsidRPr="00C04174">
        <w:rPr>
          <w:rFonts w:cs="Times New Roman"/>
          <w:color w:val="000000" w:themeColor="text1"/>
          <w:sz w:val="28"/>
          <w:szCs w:val="28"/>
        </w:rPr>
        <w:t>Answer:</w:t>
      </w:r>
    </w:p>
    <w:p w:rsidR="00C04174" w:rsidRPr="00C04174" w:rsidRDefault="00C04174" w:rsidP="006B4DDF">
      <w:pPr>
        <w:pStyle w:val="ListNumber"/>
        <w:numPr>
          <w:ilvl w:val="0"/>
          <w:numId w:val="0"/>
        </w:numPr>
        <w:ind w:left="1440"/>
        <w:jc w:val="both"/>
        <w:rPr>
          <w:rFonts w:cs="Times New Roman"/>
          <w:color w:val="000000" w:themeColor="text1"/>
          <w:sz w:val="28"/>
          <w:szCs w:val="28"/>
        </w:rPr>
      </w:pPr>
      <w:r w:rsidRPr="00C04174">
        <w:rPr>
          <w:rFonts w:cs="Times New Roman"/>
          <w:color w:val="000000" w:themeColor="text1"/>
          <w:sz w:val="28"/>
          <w:szCs w:val="28"/>
        </w:rPr>
        <w:t>A mobile app company plans to deploy its application globally and needs consistent performance for users on every continent.</w:t>
      </w:r>
    </w:p>
    <w:p w:rsidR="00C04174" w:rsidRPr="00C04174" w:rsidRDefault="00C04174" w:rsidP="006B4DDF">
      <w:pPr>
        <w:spacing w:before="160" w:after="80"/>
        <w:ind w:left="1080"/>
        <w:jc w:val="both"/>
        <w:rPr>
          <w:rFonts w:cs="Times New Roman"/>
          <w:color w:val="000000" w:themeColor="text1"/>
          <w:sz w:val="28"/>
          <w:szCs w:val="28"/>
        </w:rPr>
      </w:pPr>
      <w:r w:rsidRPr="00C04174">
        <w:rPr>
          <w:rFonts w:cs="Times New Roman"/>
          <w:b/>
          <w:bCs/>
          <w:color w:val="000000" w:themeColor="text1"/>
          <w:sz w:val="28"/>
          <w:szCs w:val="28"/>
        </w:rPr>
        <w:t>1. How CDNs Improve Performance and Reduce Latency</w:t>
      </w:r>
    </w:p>
    <w:p w:rsidR="00C04174" w:rsidRPr="00C04174" w:rsidRDefault="00C04174" w:rsidP="006B4DDF">
      <w:pPr>
        <w:spacing w:after="120"/>
        <w:ind w:left="1080"/>
        <w:jc w:val="both"/>
        <w:rPr>
          <w:rFonts w:cs="Times New Roman"/>
          <w:color w:val="000000" w:themeColor="text1"/>
          <w:sz w:val="28"/>
          <w:szCs w:val="28"/>
        </w:rPr>
      </w:pPr>
      <w:r w:rsidRPr="00C04174">
        <w:rPr>
          <w:rFonts w:cs="Times New Roman"/>
          <w:color w:val="000000" w:themeColor="text1"/>
          <w:sz w:val="28"/>
          <w:szCs w:val="28"/>
        </w:rPr>
        <w:t>A Content Delivery Network caches static and semi-static content (images, videos, app assets, API responses that don't change per-request) at a large number of geographically distributed edge locations. Instead of every user request traveling all the way to a single origin server, it is served from the nearest edge location - cutting the physical distance data has to travel and therefore cutting round-trip latency dramatically.</w:t>
      </w:r>
    </w:p>
    <w:p w:rsidR="00C04174" w:rsidRPr="00C04174" w:rsidRDefault="00C04174" w:rsidP="006B4DDF">
      <w:pPr>
        <w:spacing w:before="120" w:after="120"/>
        <w:ind w:left="1080"/>
        <w:jc w:val="both"/>
        <w:rPr>
          <w:rFonts w:cs="Times New Roman"/>
          <w:color w:val="000000" w:themeColor="text1"/>
          <w:sz w:val="28"/>
          <w:szCs w:val="28"/>
        </w:rPr>
      </w:pPr>
      <w:r w:rsidRPr="00C04174">
        <w:rPr>
          <w:rFonts w:cs="Times New Roman"/>
          <w:noProof/>
          <w:color w:val="000000" w:themeColor="text1"/>
          <w:sz w:val="28"/>
          <w:szCs w:val="28"/>
          <w:lang w:val="en-IN" w:eastAsia="en-IN" w:bidi="ta-IN"/>
        </w:rPr>
        <w:lastRenderedPageBreak/>
        <w:drawing>
          <wp:inline distT="0" distB="0" distL="0" distR="0" wp14:anchorId="712B11B2" wp14:editId="1C52D72C">
            <wp:extent cx="5760720" cy="374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749040"/>
                    </a:xfrm>
                    <a:prstGeom prst="rect">
                      <a:avLst/>
                    </a:prstGeom>
                  </pic:spPr>
                </pic:pic>
              </a:graphicData>
            </a:graphic>
          </wp:inline>
        </w:drawing>
      </w:r>
    </w:p>
    <w:p w:rsidR="00C04174" w:rsidRPr="00C04174" w:rsidRDefault="00C04174" w:rsidP="006B4DDF">
      <w:pPr>
        <w:ind w:left="1080"/>
        <w:jc w:val="both"/>
        <w:rPr>
          <w:rFonts w:cs="Times New Roman"/>
          <w:color w:val="000000" w:themeColor="text1"/>
          <w:sz w:val="28"/>
          <w:szCs w:val="28"/>
        </w:rPr>
      </w:pPr>
      <w:r w:rsidRPr="00C04174">
        <w:rPr>
          <w:rFonts w:cs="Times New Roman"/>
          <w:color w:val="000000" w:themeColor="text1"/>
          <w:sz w:val="28"/>
          <w:szCs w:val="28"/>
        </w:rPr>
        <w:t>Figure 3.1: CDN edge servers placed close to users in each region, reducing round-trip latency.</w:t>
      </w:r>
    </w:p>
    <w:p w:rsidR="00C04174" w:rsidRPr="00C04174" w:rsidRDefault="00C04174" w:rsidP="006B4DDF">
      <w:pPr>
        <w:spacing w:before="160" w:after="80"/>
        <w:ind w:left="1080"/>
        <w:jc w:val="both"/>
        <w:rPr>
          <w:rFonts w:cs="Times New Roman"/>
          <w:color w:val="000000" w:themeColor="text1"/>
          <w:sz w:val="28"/>
          <w:szCs w:val="28"/>
        </w:rPr>
      </w:pPr>
      <w:r w:rsidRPr="00C04174">
        <w:rPr>
          <w:rFonts w:cs="Times New Roman"/>
          <w:b/>
          <w:bCs/>
          <w:color w:val="000000" w:themeColor="text1"/>
          <w:sz w:val="28"/>
          <w:szCs w:val="28"/>
        </w:rPr>
        <w:t xml:space="preserve">2. How Edge Servers Enhance Experience </w:t>
      </w:r>
      <w:proofErr w:type="gramStart"/>
      <w:r w:rsidRPr="00C04174">
        <w:rPr>
          <w:rFonts w:cs="Times New Roman"/>
          <w:b/>
          <w:bCs/>
          <w:color w:val="000000" w:themeColor="text1"/>
          <w:sz w:val="28"/>
          <w:szCs w:val="28"/>
        </w:rPr>
        <w:t>Across</w:t>
      </w:r>
      <w:proofErr w:type="gramEnd"/>
      <w:r w:rsidRPr="00C04174">
        <w:rPr>
          <w:rFonts w:cs="Times New Roman"/>
          <w:b/>
          <w:bCs/>
          <w:color w:val="000000" w:themeColor="text1"/>
          <w:sz w:val="28"/>
          <w:szCs w:val="28"/>
        </w:rPr>
        <w:t xml:space="preserve"> Regions</w:t>
      </w:r>
    </w:p>
    <w:p w:rsidR="00C04174" w:rsidRPr="00C04174" w:rsidRDefault="00C04174" w:rsidP="006B4DDF">
      <w:pPr>
        <w:pStyle w:val="ListParagraph"/>
        <w:numPr>
          <w:ilvl w:val="0"/>
          <w:numId w:val="10"/>
        </w:numPr>
        <w:spacing w:after="60"/>
        <w:ind w:left="1584"/>
        <w:contextualSpacing w:val="0"/>
        <w:jc w:val="both"/>
        <w:rPr>
          <w:rFonts w:cs="Times New Roman"/>
          <w:color w:val="000000" w:themeColor="text1"/>
          <w:sz w:val="28"/>
          <w:szCs w:val="28"/>
        </w:rPr>
      </w:pPr>
      <w:r w:rsidRPr="00C04174">
        <w:rPr>
          <w:rFonts w:cs="Times New Roman"/>
          <w:color w:val="000000" w:themeColor="text1"/>
          <w:sz w:val="28"/>
          <w:szCs w:val="28"/>
        </w:rPr>
        <w:t>Users in North America, Europe, Asia-Pacific, and the Middle East each connect to their own nearby edge server rather than a single distant origin, so load times feel consistent regardless of the user's location.</w:t>
      </w:r>
    </w:p>
    <w:p w:rsidR="00C04174" w:rsidRPr="00C04174" w:rsidRDefault="00C04174" w:rsidP="006B4DDF">
      <w:pPr>
        <w:pStyle w:val="ListParagraph"/>
        <w:numPr>
          <w:ilvl w:val="0"/>
          <w:numId w:val="10"/>
        </w:numPr>
        <w:spacing w:after="60"/>
        <w:ind w:left="1584"/>
        <w:contextualSpacing w:val="0"/>
        <w:jc w:val="both"/>
        <w:rPr>
          <w:rFonts w:cs="Times New Roman"/>
          <w:color w:val="000000" w:themeColor="text1"/>
          <w:sz w:val="28"/>
          <w:szCs w:val="28"/>
        </w:rPr>
      </w:pPr>
      <w:r w:rsidRPr="00C04174">
        <w:rPr>
          <w:rFonts w:cs="Times New Roman"/>
          <w:color w:val="000000" w:themeColor="text1"/>
          <w:sz w:val="28"/>
          <w:szCs w:val="28"/>
        </w:rPr>
        <w:t>Edge servers also absorb traffic locally, so a surge of users in one region (e.g., a viral moment in Asia) does not add load to servers serving other regions.</w:t>
      </w:r>
    </w:p>
    <w:p w:rsidR="00C04174" w:rsidRPr="00C04174" w:rsidRDefault="00C04174" w:rsidP="006B4DDF">
      <w:pPr>
        <w:pStyle w:val="ListParagraph"/>
        <w:numPr>
          <w:ilvl w:val="0"/>
          <w:numId w:val="10"/>
        </w:numPr>
        <w:spacing w:after="60"/>
        <w:ind w:left="1584"/>
        <w:contextualSpacing w:val="0"/>
        <w:jc w:val="both"/>
        <w:rPr>
          <w:rFonts w:cs="Times New Roman"/>
          <w:color w:val="000000" w:themeColor="text1"/>
          <w:sz w:val="28"/>
          <w:szCs w:val="28"/>
        </w:rPr>
      </w:pPr>
      <w:r w:rsidRPr="00C04174">
        <w:rPr>
          <w:rFonts w:cs="Times New Roman"/>
          <w:color w:val="000000" w:themeColor="text1"/>
          <w:sz w:val="28"/>
          <w:szCs w:val="28"/>
        </w:rPr>
        <w:t>Some CDNs support edge compute (running small pieces of application logic at the edge itself), further reducing the need to reach the origin for simple operations like authentication checks or A/B test routing.</w:t>
      </w:r>
    </w:p>
    <w:p w:rsidR="00C04174" w:rsidRPr="00C04174" w:rsidRDefault="00C04174" w:rsidP="006B4DDF">
      <w:pPr>
        <w:spacing w:before="160" w:after="80"/>
        <w:ind w:left="1080"/>
        <w:jc w:val="both"/>
        <w:rPr>
          <w:rFonts w:cs="Times New Roman"/>
          <w:color w:val="000000" w:themeColor="text1"/>
          <w:sz w:val="28"/>
          <w:szCs w:val="28"/>
        </w:rPr>
      </w:pPr>
      <w:r w:rsidRPr="00C04174">
        <w:rPr>
          <w:rFonts w:cs="Times New Roman"/>
          <w:b/>
          <w:bCs/>
          <w:color w:val="000000" w:themeColor="text1"/>
          <w:sz w:val="28"/>
          <w:szCs w:val="28"/>
        </w:rPr>
        <w:t>3. How Cloud Providers Support Global Availability</w:t>
      </w:r>
    </w:p>
    <w:p w:rsidR="00C04174" w:rsidRPr="00C04174" w:rsidRDefault="00C04174" w:rsidP="006B4DDF">
      <w:pPr>
        <w:pStyle w:val="ListParagraph"/>
        <w:numPr>
          <w:ilvl w:val="0"/>
          <w:numId w:val="10"/>
        </w:numPr>
        <w:spacing w:after="60"/>
        <w:ind w:left="1584"/>
        <w:contextualSpacing w:val="0"/>
        <w:jc w:val="both"/>
        <w:rPr>
          <w:rFonts w:cs="Times New Roman"/>
          <w:color w:val="000000" w:themeColor="text1"/>
          <w:sz w:val="28"/>
          <w:szCs w:val="28"/>
        </w:rPr>
      </w:pPr>
      <w:r w:rsidRPr="00C04174">
        <w:rPr>
          <w:rFonts w:cs="Times New Roman"/>
          <w:color w:val="000000" w:themeColor="text1"/>
          <w:sz w:val="28"/>
          <w:szCs w:val="28"/>
        </w:rPr>
        <w:t>Cloud providers operate CDN services (</w:t>
      </w:r>
      <w:proofErr w:type="spellStart"/>
      <w:r w:rsidRPr="00C04174">
        <w:rPr>
          <w:rFonts w:cs="Times New Roman"/>
          <w:color w:val="000000" w:themeColor="text1"/>
          <w:sz w:val="28"/>
          <w:szCs w:val="28"/>
        </w:rPr>
        <w:t>CloudFront</w:t>
      </w:r>
      <w:proofErr w:type="spellEnd"/>
      <w:r w:rsidRPr="00C04174">
        <w:rPr>
          <w:rFonts w:cs="Times New Roman"/>
          <w:color w:val="000000" w:themeColor="text1"/>
          <w:sz w:val="28"/>
          <w:szCs w:val="28"/>
        </w:rPr>
        <w:t xml:space="preserve">, Azure CDN, </w:t>
      </w:r>
      <w:proofErr w:type="gramStart"/>
      <w:r w:rsidRPr="00C04174">
        <w:rPr>
          <w:rFonts w:cs="Times New Roman"/>
          <w:color w:val="000000" w:themeColor="text1"/>
          <w:sz w:val="28"/>
          <w:szCs w:val="28"/>
        </w:rPr>
        <w:t>Cloud</w:t>
      </w:r>
      <w:proofErr w:type="gramEnd"/>
      <w:r w:rsidRPr="00C04174">
        <w:rPr>
          <w:rFonts w:cs="Times New Roman"/>
          <w:color w:val="000000" w:themeColor="text1"/>
          <w:sz w:val="28"/>
          <w:szCs w:val="28"/>
        </w:rPr>
        <w:t xml:space="preserve"> CDN) integrated with their global network backbone, which is typically faster and more reliable than the public internet for long-distance hops.</w:t>
      </w:r>
    </w:p>
    <w:p w:rsidR="00C04174" w:rsidRPr="00C04174" w:rsidRDefault="00C04174" w:rsidP="006B4DDF">
      <w:pPr>
        <w:pStyle w:val="ListParagraph"/>
        <w:numPr>
          <w:ilvl w:val="0"/>
          <w:numId w:val="10"/>
        </w:numPr>
        <w:spacing w:after="60"/>
        <w:ind w:left="1584"/>
        <w:contextualSpacing w:val="0"/>
        <w:jc w:val="both"/>
        <w:rPr>
          <w:rFonts w:cs="Times New Roman"/>
          <w:color w:val="000000" w:themeColor="text1"/>
          <w:sz w:val="28"/>
          <w:szCs w:val="28"/>
        </w:rPr>
      </w:pPr>
      <w:r w:rsidRPr="00C04174">
        <w:rPr>
          <w:rFonts w:cs="Times New Roman"/>
          <w:color w:val="000000" w:themeColor="text1"/>
          <w:sz w:val="28"/>
          <w:szCs w:val="28"/>
        </w:rPr>
        <w:t>Multi-region deployment of the origin/backend, combined with global DNS-based traffic routing, ensures that even the origin itself is reachable quickly from anywhere, and can fail over between regions if one becomes unavailable.</w:t>
      </w:r>
    </w:p>
    <w:p w:rsidR="00C04174" w:rsidRPr="00C04174" w:rsidRDefault="00C04174" w:rsidP="006B4DDF">
      <w:pPr>
        <w:spacing w:before="120" w:after="160"/>
        <w:ind w:left="1200"/>
        <w:jc w:val="both"/>
        <w:rPr>
          <w:rFonts w:cs="Times New Roman"/>
          <w:color w:val="000000" w:themeColor="text1"/>
          <w:sz w:val="28"/>
          <w:szCs w:val="28"/>
        </w:rPr>
      </w:pPr>
      <w:r w:rsidRPr="00C04174">
        <w:rPr>
          <w:rFonts w:cs="Times New Roman"/>
          <w:color w:val="000000" w:themeColor="text1"/>
          <w:sz w:val="28"/>
          <w:szCs w:val="28"/>
        </w:rPr>
        <w:lastRenderedPageBreak/>
        <w:t>Real-World Example: A real-time multiplayer mobile game deploys game servers in multiple regions and uses a CDN for game assets and patch downloads. Players in India connect to an Asia-Pacific edge/game server for low-latency matches, while players in Germany connect to a European one - keeping in-game latency low enough for competitive play, which directly affects user retention for latency-sensitive games and live-streaming apps alike.</w:t>
      </w:r>
    </w:p>
    <w:p w:rsidR="00C04174" w:rsidRPr="00C04174" w:rsidRDefault="00C04174" w:rsidP="006B4DDF">
      <w:pPr>
        <w:pStyle w:val="ListNumber"/>
        <w:numPr>
          <w:ilvl w:val="0"/>
          <w:numId w:val="0"/>
        </w:numPr>
        <w:ind w:left="360"/>
        <w:jc w:val="both"/>
        <w:rPr>
          <w:rFonts w:cs="Times New Roman"/>
          <w:color w:val="000000" w:themeColor="text1"/>
          <w:sz w:val="28"/>
          <w:szCs w:val="28"/>
        </w:rPr>
      </w:pPr>
    </w:p>
    <w:p w:rsidR="002B7716" w:rsidRPr="00C04174" w:rsidRDefault="002B7716" w:rsidP="006B4DDF">
      <w:pPr>
        <w:pStyle w:val="ListNumber"/>
        <w:numPr>
          <w:ilvl w:val="0"/>
          <w:numId w:val="0"/>
        </w:numPr>
        <w:ind w:left="360"/>
        <w:jc w:val="both"/>
        <w:rPr>
          <w:rFonts w:cs="Times New Roman"/>
          <w:color w:val="000000" w:themeColor="text1"/>
          <w:sz w:val="28"/>
          <w:szCs w:val="28"/>
        </w:rPr>
      </w:pPr>
    </w:p>
    <w:p w:rsidR="002B7716" w:rsidRPr="00C04174" w:rsidRDefault="002B7716" w:rsidP="006B4DDF">
      <w:pPr>
        <w:pStyle w:val="ListNumber"/>
        <w:jc w:val="both"/>
        <w:rPr>
          <w:rFonts w:cs="Times New Roman"/>
          <w:color w:val="000000" w:themeColor="text1"/>
          <w:sz w:val="28"/>
          <w:szCs w:val="28"/>
        </w:rPr>
      </w:pPr>
      <w:r w:rsidRPr="00C04174">
        <w:rPr>
          <w:rFonts w:cs="Times New Roman"/>
          <w:color w:val="000000" w:themeColor="text1"/>
          <w:sz w:val="28"/>
          <w:szCs w:val="28"/>
        </w:rPr>
        <w:t>A financial institution requires strict compliance and data security in cloud usage.</w:t>
      </w:r>
      <w:r w:rsidRPr="00C04174">
        <w:rPr>
          <w:rFonts w:cs="Times New Roman"/>
          <w:color w:val="000000" w:themeColor="text1"/>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rsidR="00C04174" w:rsidRPr="00C04174" w:rsidRDefault="00C04174" w:rsidP="006B4DDF">
      <w:pPr>
        <w:pStyle w:val="ListNumber"/>
        <w:numPr>
          <w:ilvl w:val="0"/>
          <w:numId w:val="0"/>
        </w:numPr>
        <w:ind w:left="360"/>
        <w:jc w:val="both"/>
        <w:rPr>
          <w:rFonts w:cs="Times New Roman"/>
          <w:color w:val="000000" w:themeColor="text1"/>
          <w:sz w:val="28"/>
          <w:szCs w:val="28"/>
        </w:rPr>
      </w:pPr>
      <w:r w:rsidRPr="00C04174">
        <w:rPr>
          <w:rFonts w:cs="Times New Roman"/>
          <w:color w:val="000000" w:themeColor="text1"/>
          <w:sz w:val="28"/>
          <w:szCs w:val="28"/>
        </w:rPr>
        <w:t>Answer:</w:t>
      </w:r>
    </w:p>
    <w:p w:rsidR="00C04174" w:rsidRPr="00C04174" w:rsidRDefault="00C04174" w:rsidP="006B4DDF">
      <w:pPr>
        <w:spacing w:after="120"/>
        <w:ind w:left="1440"/>
        <w:jc w:val="both"/>
        <w:rPr>
          <w:rFonts w:cs="Times New Roman"/>
          <w:color w:val="000000" w:themeColor="text1"/>
          <w:sz w:val="28"/>
          <w:szCs w:val="28"/>
        </w:rPr>
      </w:pPr>
      <w:r w:rsidRPr="00C04174">
        <w:rPr>
          <w:rFonts w:cs="Times New Roman"/>
          <w:color w:val="000000" w:themeColor="text1"/>
          <w:sz w:val="28"/>
          <w:szCs w:val="28"/>
        </w:rPr>
        <w:t>A financial institution must meet strict regulatory compliance and data security requirements while using cloud infrastructure for sensitive financial transactions.</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1. How Cloud Providers Support Compliance and Auditing</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Major cloud providers maintain independently audited certifications (PCI-DSS for payment data, ISO 27001, SOC 2, and region-specific frameworks like RBI guidelines or GDPR) and publish compliance reports the institution can rely on for its own regulatory audits.</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Providers operate under a shared-responsibility model: the provider secures the underlying infrastructure and certifies it, while the institution is responsible for correctly configuring identity, encryption, and access controls on top of it.</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Built-in audit and compliance dashboards (e.g., AWS Audit Manager, Azure Compliance Manager) map the institution's actual cloud configuration against required regulatory controls continuously, rather than only at audit time.</w:t>
      </w:r>
    </w:p>
    <w:p w:rsidR="00C04174" w:rsidRPr="00C04174" w:rsidRDefault="00C04174" w:rsidP="006B4DDF">
      <w:pPr>
        <w:spacing w:before="120" w:after="120"/>
        <w:ind w:left="1440"/>
        <w:jc w:val="both"/>
        <w:rPr>
          <w:rFonts w:cs="Times New Roman"/>
          <w:color w:val="000000" w:themeColor="text1"/>
          <w:sz w:val="28"/>
          <w:szCs w:val="28"/>
        </w:rPr>
      </w:pPr>
      <w:r w:rsidRPr="00C04174">
        <w:rPr>
          <w:rFonts w:cs="Times New Roman"/>
          <w:noProof/>
          <w:color w:val="000000" w:themeColor="text1"/>
          <w:sz w:val="28"/>
          <w:szCs w:val="28"/>
          <w:lang w:val="en-IN" w:eastAsia="en-IN" w:bidi="ta-IN"/>
        </w:rPr>
        <w:lastRenderedPageBreak/>
        <w:drawing>
          <wp:inline distT="0" distB="0" distL="0" distR="0" wp14:anchorId="3115700D" wp14:editId="1E787DFD">
            <wp:extent cx="5760720" cy="3749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49040"/>
                    </a:xfrm>
                    <a:prstGeom prst="rect">
                      <a:avLst/>
                    </a:prstGeom>
                  </pic:spPr>
                </pic:pic>
              </a:graphicData>
            </a:graphic>
          </wp:inline>
        </w:drawing>
      </w:r>
    </w:p>
    <w:p w:rsidR="00C04174" w:rsidRPr="00C04174" w:rsidRDefault="00C04174" w:rsidP="006B4DDF">
      <w:pPr>
        <w:ind w:left="1440"/>
        <w:jc w:val="both"/>
        <w:rPr>
          <w:rFonts w:cs="Times New Roman"/>
          <w:color w:val="000000" w:themeColor="text1"/>
          <w:sz w:val="28"/>
          <w:szCs w:val="28"/>
        </w:rPr>
      </w:pPr>
      <w:r w:rsidRPr="00C04174">
        <w:rPr>
          <w:rFonts w:cs="Times New Roman"/>
          <w:color w:val="000000" w:themeColor="text1"/>
          <w:sz w:val="28"/>
          <w:szCs w:val="28"/>
        </w:rPr>
        <w:t>Figure 4.1: Compliance-oriented cloud architecture with logging, monitoring, encryption, and data residency controls.</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2. Role of Logging, Monitoring, and Encryption</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Logging: </w:t>
      </w:r>
      <w:r w:rsidRPr="00C04174">
        <w:rPr>
          <w:rFonts w:cs="Times New Roman"/>
          <w:color w:val="000000" w:themeColor="text1"/>
          <w:sz w:val="28"/>
          <w:szCs w:val="28"/>
        </w:rPr>
        <w:t xml:space="preserve">Every access to and change in financial data is written to an immutable audit trail (e.g., AWS </w:t>
      </w:r>
      <w:proofErr w:type="spellStart"/>
      <w:r w:rsidRPr="00C04174">
        <w:rPr>
          <w:rFonts w:cs="Times New Roman"/>
          <w:color w:val="000000" w:themeColor="text1"/>
          <w:sz w:val="28"/>
          <w:szCs w:val="28"/>
        </w:rPr>
        <w:t>CloudTrail</w:t>
      </w:r>
      <w:proofErr w:type="spellEnd"/>
      <w:r w:rsidRPr="00C04174">
        <w:rPr>
          <w:rFonts w:cs="Times New Roman"/>
          <w:color w:val="000000" w:themeColor="text1"/>
          <w:sz w:val="28"/>
          <w:szCs w:val="28"/>
        </w:rPr>
        <w:t>), which regulators require to reconstruct exactly who did what and when - critical evidence during any compliance investigation or breach inquiry.</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Monitoring: </w:t>
      </w:r>
      <w:r w:rsidRPr="00C04174">
        <w:rPr>
          <w:rFonts w:cs="Times New Roman"/>
          <w:color w:val="000000" w:themeColor="text1"/>
          <w:sz w:val="28"/>
          <w:szCs w:val="28"/>
        </w:rPr>
        <w:t>Real-time monitoring and anomaly detection flag suspicious behavior (unusual transaction patterns, access from unexpected locations) as it happens, supporting both fraud prevention and regulatory obligations to detect and report incidents quickly.</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Encryption: </w:t>
      </w:r>
      <w:r w:rsidRPr="00C04174">
        <w:rPr>
          <w:rFonts w:cs="Times New Roman"/>
          <w:color w:val="000000" w:themeColor="text1"/>
          <w:sz w:val="28"/>
          <w:szCs w:val="28"/>
        </w:rPr>
        <w:t>TLS protects transaction data in transit, AES-256 protects it at rest, and a centrally managed Key Management Service (KMS) - sometimes with the institution holding its own keys - ensures that even the cloud provider cannot read the raw financial data.</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3. Meeting Data Sovereignty Requirements</w:t>
      </w:r>
    </w:p>
    <w:p w:rsidR="00C04174" w:rsidRPr="00C04174" w:rsidRDefault="00C04174" w:rsidP="006B4DDF">
      <w:pPr>
        <w:spacing w:after="120"/>
        <w:ind w:left="1440"/>
        <w:jc w:val="both"/>
        <w:rPr>
          <w:rFonts w:cs="Times New Roman"/>
          <w:color w:val="000000" w:themeColor="text1"/>
          <w:sz w:val="28"/>
          <w:szCs w:val="28"/>
        </w:rPr>
      </w:pPr>
      <w:r w:rsidRPr="00C04174">
        <w:rPr>
          <w:rFonts w:cs="Times New Roman"/>
          <w:color w:val="000000" w:themeColor="text1"/>
          <w:sz w:val="28"/>
          <w:szCs w:val="28"/>
        </w:rPr>
        <w:t xml:space="preserve">Data sovereignty means financial data must legally remain within a specific country or region's jurisdiction. Institutions meet this by selecting cloud regions physically located within the required jurisdiction, using storage and backup policies that pin data (and its replicas) to that region only, and verifying through </w:t>
      </w:r>
      <w:r w:rsidRPr="00C04174">
        <w:rPr>
          <w:rFonts w:cs="Times New Roman"/>
          <w:color w:val="000000" w:themeColor="text1"/>
          <w:sz w:val="28"/>
          <w:szCs w:val="28"/>
        </w:rPr>
        <w:lastRenderedPageBreak/>
        <w:t>the provider's compliance documentation that no data is transferred outside approved boundaries even for backups or disaster recovery.</w:t>
      </w:r>
    </w:p>
    <w:p w:rsidR="00C04174" w:rsidRPr="00C04174" w:rsidRDefault="00C04174" w:rsidP="006B4DDF">
      <w:pPr>
        <w:spacing w:before="120" w:after="160"/>
        <w:ind w:left="1560"/>
        <w:jc w:val="both"/>
        <w:rPr>
          <w:rFonts w:cs="Times New Roman"/>
          <w:color w:val="000000" w:themeColor="text1"/>
          <w:sz w:val="28"/>
          <w:szCs w:val="28"/>
        </w:rPr>
      </w:pPr>
      <w:r w:rsidRPr="00C04174">
        <w:rPr>
          <w:rFonts w:cs="Times New Roman"/>
          <w:color w:val="000000" w:themeColor="text1"/>
          <w:sz w:val="28"/>
          <w:szCs w:val="28"/>
        </w:rPr>
        <w:t>Real-World Example: A bank processing a cross-border wire transfer encrypts the transaction data end-to-end, logs every step of the transfer immutably for audit, runs it through real-time fraud-monitoring rules, and ensures the customer's account data itself is stored only within the region required by that country's financial regulator - satisfying compliance, security, and sovereignty requirements simultaneously.</w:t>
      </w:r>
    </w:p>
    <w:p w:rsidR="00C04174" w:rsidRPr="00C04174" w:rsidRDefault="00C04174" w:rsidP="006B4DDF">
      <w:pPr>
        <w:pStyle w:val="ListNumber"/>
        <w:numPr>
          <w:ilvl w:val="0"/>
          <w:numId w:val="0"/>
        </w:numPr>
        <w:ind w:left="360"/>
        <w:jc w:val="both"/>
        <w:rPr>
          <w:rFonts w:cs="Times New Roman"/>
          <w:color w:val="000000" w:themeColor="text1"/>
          <w:sz w:val="28"/>
          <w:szCs w:val="28"/>
        </w:rPr>
      </w:pPr>
    </w:p>
    <w:p w:rsidR="001B136A" w:rsidRPr="00C04174" w:rsidRDefault="002B7716" w:rsidP="006B4DDF">
      <w:pPr>
        <w:pStyle w:val="ListNumber"/>
        <w:jc w:val="both"/>
        <w:rPr>
          <w:rFonts w:cs="Times New Roman"/>
          <w:color w:val="000000" w:themeColor="text1"/>
          <w:sz w:val="28"/>
          <w:szCs w:val="28"/>
        </w:rPr>
      </w:pPr>
      <w:r w:rsidRPr="00C04174">
        <w:rPr>
          <w:rFonts w:cs="Times New Roman"/>
          <w:color w:val="000000" w:themeColor="text1"/>
          <w:sz w:val="28"/>
          <w:szCs w:val="28"/>
        </w:rPr>
        <w:t>A development team wants to adopt containerization for application deployment.</w:t>
      </w:r>
      <w:r w:rsidRPr="00C04174">
        <w:rPr>
          <w:rFonts w:cs="Times New Roman"/>
          <w:color w:val="000000" w:themeColor="text1"/>
          <w:sz w:val="28"/>
          <w:szCs w:val="28"/>
        </w:rPr>
        <w:br/>
        <w:t xml:space="preserve">Explain how containers differ from virtual machines in terms of performance and resource usage. How does orchestration (like </w:t>
      </w:r>
      <w:proofErr w:type="spellStart"/>
      <w:r w:rsidRPr="00C04174">
        <w:rPr>
          <w:rFonts w:cs="Times New Roman"/>
          <w:color w:val="000000" w:themeColor="text1"/>
          <w:sz w:val="28"/>
          <w:szCs w:val="28"/>
        </w:rPr>
        <w:t>Kubernetes</w:t>
      </w:r>
      <w:proofErr w:type="spellEnd"/>
      <w:r w:rsidRPr="00C04174">
        <w:rPr>
          <w:rFonts w:cs="Times New Roman"/>
          <w:color w:val="000000" w:themeColor="text1"/>
          <w:sz w:val="28"/>
          <w:szCs w:val="28"/>
        </w:rPr>
        <w:t>) simplify deployment and scaling? Discuss portability benefits across different cloud environments.</w:t>
      </w:r>
      <w:r w:rsidRPr="00C04174">
        <w:rPr>
          <w:rFonts w:cs="Times New Roman"/>
          <w:color w:val="000000" w:themeColor="text1"/>
          <w:sz w:val="28"/>
          <w:szCs w:val="28"/>
        </w:rPr>
        <w:br/>
        <w:t xml:space="preserve">Provide an example of a </w:t>
      </w:r>
      <w:proofErr w:type="spellStart"/>
      <w:r w:rsidRPr="00C04174">
        <w:rPr>
          <w:rFonts w:cs="Times New Roman"/>
          <w:color w:val="000000" w:themeColor="text1"/>
          <w:sz w:val="28"/>
          <w:szCs w:val="28"/>
        </w:rPr>
        <w:t>microservices</w:t>
      </w:r>
      <w:proofErr w:type="spellEnd"/>
      <w:r w:rsidRPr="00C04174">
        <w:rPr>
          <w:rFonts w:cs="Times New Roman"/>
          <w:color w:val="000000" w:themeColor="text1"/>
          <w:sz w:val="28"/>
          <w:szCs w:val="28"/>
        </w:rPr>
        <w:t>-based application.</w:t>
      </w:r>
    </w:p>
    <w:p w:rsidR="00C04174" w:rsidRPr="00C04174" w:rsidRDefault="00C04174" w:rsidP="006B4DDF">
      <w:pPr>
        <w:pStyle w:val="ListNumber"/>
        <w:numPr>
          <w:ilvl w:val="0"/>
          <w:numId w:val="0"/>
        </w:numPr>
        <w:ind w:left="360"/>
        <w:jc w:val="both"/>
        <w:rPr>
          <w:rFonts w:cs="Times New Roman"/>
          <w:color w:val="000000" w:themeColor="text1"/>
          <w:sz w:val="28"/>
          <w:szCs w:val="28"/>
        </w:rPr>
      </w:pPr>
      <w:r w:rsidRPr="00C04174">
        <w:rPr>
          <w:rFonts w:cs="Times New Roman"/>
          <w:color w:val="000000" w:themeColor="text1"/>
          <w:sz w:val="28"/>
          <w:szCs w:val="28"/>
        </w:rPr>
        <w:t>Answer:</w:t>
      </w:r>
    </w:p>
    <w:p w:rsidR="00C04174" w:rsidRPr="00C04174" w:rsidRDefault="00C04174" w:rsidP="006B4DDF">
      <w:pPr>
        <w:spacing w:after="120"/>
        <w:ind w:left="1440"/>
        <w:jc w:val="both"/>
        <w:rPr>
          <w:rFonts w:cs="Times New Roman"/>
          <w:color w:val="000000" w:themeColor="text1"/>
          <w:sz w:val="28"/>
          <w:szCs w:val="28"/>
        </w:rPr>
      </w:pPr>
      <w:r w:rsidRPr="00C04174">
        <w:rPr>
          <w:rFonts w:cs="Times New Roman"/>
          <w:color w:val="000000" w:themeColor="text1"/>
          <w:sz w:val="28"/>
          <w:szCs w:val="28"/>
        </w:rPr>
        <w:t>A development team wants to adopt containerization for deploying its applications instead of relying purely on traditional virtual machines.</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 xml:space="preserve">1. Containers </w:t>
      </w:r>
      <w:proofErr w:type="spellStart"/>
      <w:r w:rsidRPr="00C04174">
        <w:rPr>
          <w:rFonts w:cs="Times New Roman"/>
          <w:b/>
          <w:bCs/>
          <w:color w:val="000000" w:themeColor="text1"/>
          <w:sz w:val="28"/>
          <w:szCs w:val="28"/>
        </w:rPr>
        <w:t>vs</w:t>
      </w:r>
      <w:proofErr w:type="spellEnd"/>
      <w:r w:rsidRPr="00C04174">
        <w:rPr>
          <w:rFonts w:cs="Times New Roman"/>
          <w:b/>
          <w:bCs/>
          <w:color w:val="000000" w:themeColor="text1"/>
          <w:sz w:val="28"/>
          <w:szCs w:val="28"/>
        </w:rPr>
        <w:t xml:space="preserve"> Virtual Machines</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Resource usage: </w:t>
      </w:r>
      <w:r w:rsidRPr="00C04174">
        <w:rPr>
          <w:rFonts w:cs="Times New Roman"/>
          <w:color w:val="000000" w:themeColor="text1"/>
          <w:sz w:val="28"/>
          <w:szCs w:val="28"/>
        </w:rPr>
        <w:t>Each VM bundles a full guest operating system alongside the application, consuming significant CPU, memory, and disk just to run the OS itself. A container shares the host machine's OS kernel and packages only the application and its dependencies, making it far lighter.</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Performance and startup time: </w:t>
      </w:r>
      <w:r w:rsidRPr="00C04174">
        <w:rPr>
          <w:rFonts w:cs="Times New Roman"/>
          <w:color w:val="000000" w:themeColor="text1"/>
          <w:sz w:val="28"/>
          <w:szCs w:val="28"/>
        </w:rPr>
        <w:t>VMs typically take minutes to boot because they must start an entire OS. Containers start in seconds since there is no OS to boot, only the application process itself, which also means far higher application density per physical host.</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b/>
          <w:bCs/>
          <w:color w:val="000000" w:themeColor="text1"/>
          <w:sz w:val="28"/>
          <w:szCs w:val="28"/>
        </w:rPr>
        <w:t xml:space="preserve">Isolation trade-off: </w:t>
      </w:r>
      <w:r w:rsidRPr="00C04174">
        <w:rPr>
          <w:rFonts w:cs="Times New Roman"/>
          <w:color w:val="000000" w:themeColor="text1"/>
          <w:sz w:val="28"/>
          <w:szCs w:val="28"/>
        </w:rPr>
        <w:t xml:space="preserve">VMs offer stronger isolation (separate kernels) which suits multi-tenant or highly sensitive workloads; containers offer weaker isolation than VMs but are increasingly hardened (namespaces, </w:t>
      </w:r>
      <w:proofErr w:type="spellStart"/>
      <w:r w:rsidRPr="00C04174">
        <w:rPr>
          <w:rFonts w:cs="Times New Roman"/>
          <w:color w:val="000000" w:themeColor="text1"/>
          <w:sz w:val="28"/>
          <w:szCs w:val="28"/>
        </w:rPr>
        <w:t>cgroups</w:t>
      </w:r>
      <w:proofErr w:type="spellEnd"/>
      <w:r w:rsidRPr="00C04174">
        <w:rPr>
          <w:rFonts w:cs="Times New Roman"/>
          <w:color w:val="000000" w:themeColor="text1"/>
          <w:sz w:val="28"/>
          <w:szCs w:val="28"/>
        </w:rPr>
        <w:t xml:space="preserve">) and are the standard choice for fast-moving </w:t>
      </w:r>
      <w:proofErr w:type="spellStart"/>
      <w:r w:rsidRPr="00C04174">
        <w:rPr>
          <w:rFonts w:cs="Times New Roman"/>
          <w:color w:val="000000" w:themeColor="text1"/>
          <w:sz w:val="28"/>
          <w:szCs w:val="28"/>
        </w:rPr>
        <w:t>microservices</w:t>
      </w:r>
      <w:proofErr w:type="spellEnd"/>
      <w:r w:rsidRPr="00C04174">
        <w:rPr>
          <w:rFonts w:cs="Times New Roman"/>
          <w:color w:val="000000" w:themeColor="text1"/>
          <w:sz w:val="28"/>
          <w:szCs w:val="28"/>
        </w:rPr>
        <w:t>.</w:t>
      </w:r>
    </w:p>
    <w:p w:rsidR="00C04174" w:rsidRPr="00C04174" w:rsidRDefault="00C04174" w:rsidP="006B4DDF">
      <w:pPr>
        <w:spacing w:before="120" w:after="120"/>
        <w:ind w:left="1440"/>
        <w:jc w:val="both"/>
        <w:rPr>
          <w:rFonts w:cs="Times New Roman"/>
          <w:color w:val="000000" w:themeColor="text1"/>
          <w:sz w:val="28"/>
          <w:szCs w:val="28"/>
        </w:rPr>
      </w:pPr>
      <w:r w:rsidRPr="00C04174">
        <w:rPr>
          <w:rFonts w:cs="Times New Roman"/>
          <w:noProof/>
          <w:color w:val="000000" w:themeColor="text1"/>
          <w:sz w:val="28"/>
          <w:szCs w:val="28"/>
          <w:lang w:val="en-IN" w:eastAsia="en-IN" w:bidi="ta-IN"/>
        </w:rPr>
        <w:lastRenderedPageBreak/>
        <w:drawing>
          <wp:inline distT="0" distB="0" distL="0" distR="0" wp14:anchorId="0F860F88" wp14:editId="250E85DC">
            <wp:extent cx="5760720" cy="3749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749040"/>
                    </a:xfrm>
                    <a:prstGeom prst="rect">
                      <a:avLst/>
                    </a:prstGeom>
                  </pic:spPr>
                </pic:pic>
              </a:graphicData>
            </a:graphic>
          </wp:inline>
        </w:drawing>
      </w:r>
    </w:p>
    <w:p w:rsidR="00C04174" w:rsidRPr="00C04174" w:rsidRDefault="00C04174" w:rsidP="006B4DDF">
      <w:pPr>
        <w:ind w:left="1440"/>
        <w:jc w:val="both"/>
        <w:rPr>
          <w:rFonts w:cs="Times New Roman"/>
          <w:color w:val="000000" w:themeColor="text1"/>
          <w:sz w:val="28"/>
          <w:szCs w:val="28"/>
        </w:rPr>
      </w:pPr>
      <w:r w:rsidRPr="00C04174">
        <w:rPr>
          <w:rFonts w:cs="Times New Roman"/>
          <w:color w:val="000000" w:themeColor="text1"/>
          <w:sz w:val="28"/>
          <w:szCs w:val="28"/>
        </w:rPr>
        <w:t>Figure 5.1: Architectural comparison of virtual machines and containers.</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 xml:space="preserve">2. How </w:t>
      </w:r>
      <w:proofErr w:type="spellStart"/>
      <w:r w:rsidRPr="00C04174">
        <w:rPr>
          <w:rFonts w:cs="Times New Roman"/>
          <w:b/>
          <w:bCs/>
          <w:color w:val="000000" w:themeColor="text1"/>
          <w:sz w:val="28"/>
          <w:szCs w:val="28"/>
        </w:rPr>
        <w:t>Kubernetes</w:t>
      </w:r>
      <w:proofErr w:type="spellEnd"/>
      <w:r w:rsidRPr="00C04174">
        <w:rPr>
          <w:rFonts w:cs="Times New Roman"/>
          <w:b/>
          <w:bCs/>
          <w:color w:val="000000" w:themeColor="text1"/>
          <w:sz w:val="28"/>
          <w:szCs w:val="28"/>
        </w:rPr>
        <w:t xml:space="preserve"> Orchestration Simplifies Deployment and Scaling</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proofErr w:type="spellStart"/>
      <w:r w:rsidRPr="00C04174">
        <w:rPr>
          <w:rFonts w:cs="Times New Roman"/>
          <w:color w:val="000000" w:themeColor="text1"/>
          <w:sz w:val="28"/>
          <w:szCs w:val="28"/>
        </w:rPr>
        <w:t>Kubernetes</w:t>
      </w:r>
      <w:proofErr w:type="spellEnd"/>
      <w:r w:rsidRPr="00C04174">
        <w:rPr>
          <w:rFonts w:cs="Times New Roman"/>
          <w:color w:val="000000" w:themeColor="text1"/>
          <w:sz w:val="28"/>
          <w:szCs w:val="28"/>
        </w:rPr>
        <w:t xml:space="preserve"> automatically schedules containers onto available hosts, restarts them if they crash (self-healing), and performs rolling updates with zero downtime when a new version is deployed.</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 xml:space="preserve">Horizontal Pod </w:t>
      </w:r>
      <w:proofErr w:type="spellStart"/>
      <w:r w:rsidRPr="00C04174">
        <w:rPr>
          <w:rFonts w:cs="Times New Roman"/>
          <w:color w:val="000000" w:themeColor="text1"/>
          <w:sz w:val="28"/>
          <w:szCs w:val="28"/>
        </w:rPr>
        <w:t>Autoscaling</w:t>
      </w:r>
      <w:proofErr w:type="spellEnd"/>
      <w:r w:rsidRPr="00C04174">
        <w:rPr>
          <w:rFonts w:cs="Times New Roman"/>
          <w:color w:val="000000" w:themeColor="text1"/>
          <w:sz w:val="28"/>
          <w:szCs w:val="28"/>
        </w:rPr>
        <w:t xml:space="preserve"> automatically increases or decreases the number of running container instances based on load, similar in spirit to VM auto-scaling but at much finer granularity and speed.</w:t>
      </w:r>
    </w:p>
    <w:p w:rsidR="00C04174" w:rsidRPr="00C04174" w:rsidRDefault="00C04174" w:rsidP="006B4DDF">
      <w:pPr>
        <w:pStyle w:val="ListParagraph"/>
        <w:numPr>
          <w:ilvl w:val="0"/>
          <w:numId w:val="10"/>
        </w:numPr>
        <w:spacing w:after="60"/>
        <w:ind w:left="1944"/>
        <w:contextualSpacing w:val="0"/>
        <w:jc w:val="both"/>
        <w:rPr>
          <w:rFonts w:cs="Times New Roman"/>
          <w:color w:val="000000" w:themeColor="text1"/>
          <w:sz w:val="28"/>
          <w:szCs w:val="28"/>
        </w:rPr>
      </w:pPr>
      <w:r w:rsidRPr="00C04174">
        <w:rPr>
          <w:rFonts w:cs="Times New Roman"/>
          <w:color w:val="000000" w:themeColor="text1"/>
          <w:sz w:val="28"/>
          <w:szCs w:val="28"/>
        </w:rPr>
        <w:t>Built-in service discovery and load balancing let containers find and call each other by service name, without the team manually tracking IP addresses as containers are created and destroyed.</w:t>
      </w:r>
    </w:p>
    <w:p w:rsidR="00C04174" w:rsidRPr="00C04174" w:rsidRDefault="00C04174" w:rsidP="006B4DDF">
      <w:pPr>
        <w:spacing w:before="160" w:after="80"/>
        <w:ind w:left="1440"/>
        <w:jc w:val="both"/>
        <w:rPr>
          <w:rFonts w:cs="Times New Roman"/>
          <w:color w:val="000000" w:themeColor="text1"/>
          <w:sz w:val="28"/>
          <w:szCs w:val="28"/>
        </w:rPr>
      </w:pPr>
      <w:r w:rsidRPr="00C04174">
        <w:rPr>
          <w:rFonts w:cs="Times New Roman"/>
          <w:b/>
          <w:bCs/>
          <w:color w:val="000000" w:themeColor="text1"/>
          <w:sz w:val="28"/>
          <w:szCs w:val="28"/>
        </w:rPr>
        <w:t xml:space="preserve">3. Portability Benefits </w:t>
      </w:r>
      <w:proofErr w:type="gramStart"/>
      <w:r w:rsidRPr="00C04174">
        <w:rPr>
          <w:rFonts w:cs="Times New Roman"/>
          <w:b/>
          <w:bCs/>
          <w:color w:val="000000" w:themeColor="text1"/>
          <w:sz w:val="28"/>
          <w:szCs w:val="28"/>
        </w:rPr>
        <w:t>Across</w:t>
      </w:r>
      <w:proofErr w:type="gramEnd"/>
      <w:r w:rsidRPr="00C04174">
        <w:rPr>
          <w:rFonts w:cs="Times New Roman"/>
          <w:b/>
          <w:bCs/>
          <w:color w:val="000000" w:themeColor="text1"/>
          <w:sz w:val="28"/>
          <w:szCs w:val="28"/>
        </w:rPr>
        <w:t xml:space="preserve"> Cloud Environments</w:t>
      </w:r>
    </w:p>
    <w:p w:rsidR="00C04174" w:rsidRPr="00C04174" w:rsidRDefault="00C04174" w:rsidP="006B4DDF">
      <w:pPr>
        <w:spacing w:after="120"/>
        <w:ind w:left="1440"/>
        <w:jc w:val="both"/>
        <w:rPr>
          <w:rFonts w:cs="Times New Roman"/>
          <w:color w:val="000000" w:themeColor="text1"/>
          <w:sz w:val="28"/>
          <w:szCs w:val="28"/>
        </w:rPr>
      </w:pPr>
      <w:r w:rsidRPr="00C04174">
        <w:rPr>
          <w:rFonts w:cs="Times New Roman"/>
          <w:color w:val="000000" w:themeColor="text1"/>
          <w:sz w:val="28"/>
          <w:szCs w:val="28"/>
        </w:rPr>
        <w:t xml:space="preserve">A container image packages the application with all its dependencies, so the exact same image runs identically on a developer's laptop, in AWS, in Azure, in GCP, or on-premises - eliminating the 'it works on my machine' problem. Combined with </w:t>
      </w:r>
      <w:proofErr w:type="spellStart"/>
      <w:r w:rsidRPr="00C04174">
        <w:rPr>
          <w:rFonts w:cs="Times New Roman"/>
          <w:color w:val="000000" w:themeColor="text1"/>
          <w:sz w:val="28"/>
          <w:szCs w:val="28"/>
        </w:rPr>
        <w:t>Kubernetes</w:t>
      </w:r>
      <w:proofErr w:type="spellEnd"/>
      <w:r w:rsidRPr="00C04174">
        <w:rPr>
          <w:rFonts w:cs="Times New Roman"/>
          <w:color w:val="000000" w:themeColor="text1"/>
          <w:sz w:val="28"/>
          <w:szCs w:val="28"/>
        </w:rPr>
        <w:t xml:space="preserve"> being available as a managed service on every major cloud (EKS, AKS, </w:t>
      </w:r>
      <w:proofErr w:type="gramStart"/>
      <w:r w:rsidRPr="00C04174">
        <w:rPr>
          <w:rFonts w:cs="Times New Roman"/>
          <w:color w:val="000000" w:themeColor="text1"/>
          <w:sz w:val="28"/>
          <w:szCs w:val="28"/>
        </w:rPr>
        <w:t>GKE</w:t>
      </w:r>
      <w:proofErr w:type="gramEnd"/>
      <w:r w:rsidRPr="00C04174">
        <w:rPr>
          <w:rFonts w:cs="Times New Roman"/>
          <w:color w:val="000000" w:themeColor="text1"/>
          <w:sz w:val="28"/>
          <w:szCs w:val="28"/>
        </w:rPr>
        <w:t>) as well as on-premises, teams avoid vendor lock-in and can move workloads between clouds, or run a multi-cloud/hybrid strategy, with minimal rework.</w:t>
      </w:r>
    </w:p>
    <w:p w:rsidR="00C04174" w:rsidRPr="00C04174" w:rsidRDefault="00C04174" w:rsidP="006B4DDF">
      <w:pPr>
        <w:spacing w:before="120" w:after="160"/>
        <w:ind w:left="1560"/>
        <w:jc w:val="both"/>
        <w:rPr>
          <w:rFonts w:cs="Times New Roman"/>
          <w:color w:val="000000" w:themeColor="text1"/>
          <w:sz w:val="28"/>
          <w:szCs w:val="28"/>
        </w:rPr>
      </w:pPr>
      <w:r w:rsidRPr="00C04174">
        <w:rPr>
          <w:rFonts w:cs="Times New Roman"/>
          <w:color w:val="000000" w:themeColor="text1"/>
          <w:sz w:val="28"/>
          <w:szCs w:val="28"/>
        </w:rPr>
        <w:lastRenderedPageBreak/>
        <w:t xml:space="preserve">Real-World Example: An e-commerce platform built as </w:t>
      </w:r>
      <w:proofErr w:type="spellStart"/>
      <w:r w:rsidRPr="00C04174">
        <w:rPr>
          <w:rFonts w:cs="Times New Roman"/>
          <w:color w:val="000000" w:themeColor="text1"/>
          <w:sz w:val="28"/>
          <w:szCs w:val="28"/>
        </w:rPr>
        <w:t>microservices</w:t>
      </w:r>
      <w:proofErr w:type="spellEnd"/>
      <w:r w:rsidRPr="00C04174">
        <w:rPr>
          <w:rFonts w:cs="Times New Roman"/>
          <w:color w:val="000000" w:themeColor="text1"/>
          <w:sz w:val="28"/>
          <w:szCs w:val="28"/>
        </w:rPr>
        <w:t xml:space="preserve"> - separate containers for the product catalog, cart, payment, and recommendation services - runs each on </w:t>
      </w:r>
      <w:proofErr w:type="spellStart"/>
      <w:r w:rsidRPr="00C04174">
        <w:rPr>
          <w:rFonts w:cs="Times New Roman"/>
          <w:color w:val="000000" w:themeColor="text1"/>
          <w:sz w:val="28"/>
          <w:szCs w:val="28"/>
        </w:rPr>
        <w:t>Kubernetes</w:t>
      </w:r>
      <w:proofErr w:type="spellEnd"/>
      <w:r w:rsidRPr="00C04174">
        <w:rPr>
          <w:rFonts w:cs="Times New Roman"/>
          <w:color w:val="000000" w:themeColor="text1"/>
          <w:sz w:val="28"/>
          <w:szCs w:val="28"/>
        </w:rPr>
        <w:t>. During a sale, only the cart and payment services are scaled up independently, while the recommendation service stays at normal capacity, something far harder to do efficiently with monolithic VM-based deployment.</w:t>
      </w:r>
    </w:p>
    <w:p w:rsidR="00C04174" w:rsidRPr="00C04174" w:rsidRDefault="00C04174" w:rsidP="006B4DDF">
      <w:pPr>
        <w:pStyle w:val="ListNumber"/>
        <w:numPr>
          <w:ilvl w:val="0"/>
          <w:numId w:val="0"/>
        </w:numPr>
        <w:ind w:left="360"/>
        <w:jc w:val="both"/>
        <w:rPr>
          <w:rFonts w:cs="Times New Roman"/>
          <w:color w:val="000000" w:themeColor="text1"/>
          <w:sz w:val="28"/>
          <w:szCs w:val="28"/>
        </w:rPr>
      </w:pPr>
    </w:p>
    <w:p w:rsidR="00C04174" w:rsidRPr="00C04174" w:rsidRDefault="00C04174" w:rsidP="006B4DDF">
      <w:pPr>
        <w:pStyle w:val="ListNumber"/>
        <w:numPr>
          <w:ilvl w:val="0"/>
          <w:numId w:val="0"/>
        </w:numPr>
        <w:ind w:left="360"/>
        <w:jc w:val="both"/>
        <w:rPr>
          <w:rFonts w:cs="Times New Roman"/>
          <w:color w:val="000000" w:themeColor="text1"/>
          <w:sz w:val="28"/>
          <w:szCs w:val="28"/>
        </w:rPr>
      </w:pPr>
    </w:p>
    <w:p w:rsidR="00C04174" w:rsidRDefault="00C04174" w:rsidP="006B4DDF">
      <w:pPr>
        <w:pStyle w:val="ListNumber"/>
        <w:numPr>
          <w:ilvl w:val="0"/>
          <w:numId w:val="0"/>
        </w:numPr>
        <w:ind w:left="360"/>
        <w:jc w:val="both"/>
        <w:rPr>
          <w:rFonts w:cs="Times New Roman"/>
          <w:sz w:val="28"/>
          <w:szCs w:val="24"/>
        </w:rPr>
      </w:pPr>
    </w:p>
    <w:p w:rsidR="00C04174" w:rsidRPr="002B7716" w:rsidRDefault="00C04174" w:rsidP="006B4DDF">
      <w:pPr>
        <w:pStyle w:val="ListNumber"/>
        <w:numPr>
          <w:ilvl w:val="0"/>
          <w:numId w:val="0"/>
        </w:numPr>
        <w:ind w:left="360"/>
        <w:jc w:val="both"/>
        <w:rPr>
          <w:rFonts w:cs="Times New Roman"/>
          <w:sz w:val="28"/>
          <w:szCs w:val="24"/>
        </w:rPr>
      </w:pPr>
    </w:p>
    <w:p w:rsidR="002B7716" w:rsidRDefault="002B7716" w:rsidP="006B4DDF">
      <w:pPr>
        <w:rPr>
          <w:rFonts w:cs="Times New Roman"/>
          <w:b/>
          <w:sz w:val="24"/>
          <w:szCs w:val="24"/>
        </w:rPr>
      </w:pPr>
    </w:p>
    <w:p w:rsidR="001B136A" w:rsidRPr="002B7716" w:rsidRDefault="00081B1C" w:rsidP="006B4DDF">
      <w:pPr>
        <w:spacing w:after="40" w:line="240" w:lineRule="auto"/>
        <w:rPr>
          <w:rFonts w:cs="Times New Roman"/>
          <w:sz w:val="24"/>
          <w:szCs w:val="24"/>
        </w:rPr>
      </w:pPr>
      <w:r w:rsidRPr="002B7716">
        <w:rPr>
          <w:rFonts w:cs="Times New Roman"/>
          <w:b/>
          <w:sz w:val="24"/>
          <w:szCs w:val="24"/>
        </w:rPr>
        <w:t>Application Based Questions Rubric</w:t>
      </w:r>
    </w:p>
    <w:tbl>
      <w:tblPr>
        <w:tblStyle w:val="TableGrid"/>
        <w:tblW w:w="0" w:type="auto"/>
        <w:tblLook w:val="04A0" w:firstRow="1" w:lastRow="0" w:firstColumn="1" w:lastColumn="0" w:noHBand="0" w:noVBand="1"/>
      </w:tblPr>
      <w:tblGrid>
        <w:gridCol w:w="1706"/>
        <w:gridCol w:w="1704"/>
        <w:gridCol w:w="1706"/>
        <w:gridCol w:w="1706"/>
        <w:gridCol w:w="1704"/>
        <w:gridCol w:w="1704"/>
      </w:tblGrid>
      <w:tr w:rsidR="001B136A" w:rsidRPr="002B7716">
        <w:tc>
          <w:tcPr>
            <w:tcW w:w="1707" w:type="dxa"/>
            <w:shd w:val="clear" w:color="auto" w:fill="D9E2F3"/>
          </w:tcPr>
          <w:p w:rsidR="001B136A" w:rsidRPr="002B7716" w:rsidRDefault="00081B1C" w:rsidP="006B4DDF">
            <w:pPr>
              <w:rPr>
                <w:rFonts w:cs="Times New Roman"/>
                <w:sz w:val="24"/>
                <w:szCs w:val="24"/>
              </w:rPr>
            </w:pPr>
            <w:r w:rsidRPr="002B7716">
              <w:rPr>
                <w:rFonts w:cs="Times New Roman"/>
                <w:b/>
                <w:sz w:val="24"/>
                <w:szCs w:val="24"/>
              </w:rPr>
              <w:t>Criteria</w:t>
            </w:r>
          </w:p>
        </w:tc>
        <w:tc>
          <w:tcPr>
            <w:tcW w:w="1707" w:type="dxa"/>
            <w:shd w:val="clear" w:color="auto" w:fill="D9E2F3"/>
          </w:tcPr>
          <w:p w:rsidR="001B136A" w:rsidRPr="002B7716" w:rsidRDefault="00081B1C" w:rsidP="006B4DDF">
            <w:pPr>
              <w:rPr>
                <w:rFonts w:cs="Times New Roman"/>
                <w:sz w:val="24"/>
                <w:szCs w:val="24"/>
              </w:rPr>
            </w:pPr>
            <w:r w:rsidRPr="002B7716">
              <w:rPr>
                <w:rFonts w:cs="Times New Roman"/>
                <w:b/>
                <w:sz w:val="24"/>
                <w:szCs w:val="24"/>
              </w:rPr>
              <w:t>Weightage</w:t>
            </w:r>
          </w:p>
        </w:tc>
        <w:tc>
          <w:tcPr>
            <w:tcW w:w="1707" w:type="dxa"/>
            <w:shd w:val="clear" w:color="auto" w:fill="D9E2F3"/>
          </w:tcPr>
          <w:p w:rsidR="001B136A" w:rsidRPr="002B7716" w:rsidRDefault="00081B1C" w:rsidP="006B4DDF">
            <w:pPr>
              <w:rPr>
                <w:rFonts w:cs="Times New Roman"/>
                <w:sz w:val="24"/>
                <w:szCs w:val="24"/>
              </w:rPr>
            </w:pPr>
            <w:r w:rsidRPr="002B7716">
              <w:rPr>
                <w:rFonts w:cs="Times New Roman"/>
                <w:b/>
                <w:sz w:val="24"/>
                <w:szCs w:val="24"/>
              </w:rPr>
              <w:t>Level 4 - Exemplary</w:t>
            </w:r>
          </w:p>
        </w:tc>
        <w:tc>
          <w:tcPr>
            <w:tcW w:w="1707" w:type="dxa"/>
            <w:shd w:val="clear" w:color="auto" w:fill="D9E2F3"/>
          </w:tcPr>
          <w:p w:rsidR="001B136A" w:rsidRPr="002B7716" w:rsidRDefault="00081B1C" w:rsidP="006B4DDF">
            <w:pPr>
              <w:rPr>
                <w:rFonts w:cs="Times New Roman"/>
                <w:sz w:val="24"/>
                <w:szCs w:val="24"/>
              </w:rPr>
            </w:pPr>
            <w:r w:rsidRPr="002B7716">
              <w:rPr>
                <w:rFonts w:cs="Times New Roman"/>
                <w:b/>
                <w:sz w:val="24"/>
                <w:szCs w:val="24"/>
              </w:rPr>
              <w:t>Level 3 - Proficient</w:t>
            </w:r>
          </w:p>
        </w:tc>
        <w:tc>
          <w:tcPr>
            <w:tcW w:w="1707" w:type="dxa"/>
            <w:shd w:val="clear" w:color="auto" w:fill="D9E2F3"/>
          </w:tcPr>
          <w:p w:rsidR="001B136A" w:rsidRPr="002B7716" w:rsidRDefault="00081B1C" w:rsidP="006B4DDF">
            <w:pPr>
              <w:rPr>
                <w:rFonts w:cs="Times New Roman"/>
                <w:sz w:val="24"/>
                <w:szCs w:val="24"/>
              </w:rPr>
            </w:pPr>
            <w:r w:rsidRPr="002B7716">
              <w:rPr>
                <w:rFonts w:cs="Times New Roman"/>
                <w:b/>
                <w:sz w:val="24"/>
                <w:szCs w:val="24"/>
              </w:rPr>
              <w:t>Level 2 - Developing</w:t>
            </w:r>
          </w:p>
        </w:tc>
        <w:tc>
          <w:tcPr>
            <w:tcW w:w="1707" w:type="dxa"/>
            <w:shd w:val="clear" w:color="auto" w:fill="D9E2F3"/>
          </w:tcPr>
          <w:p w:rsidR="001B136A" w:rsidRPr="002B7716" w:rsidRDefault="00081B1C" w:rsidP="006B4DDF">
            <w:pPr>
              <w:rPr>
                <w:rFonts w:cs="Times New Roman"/>
                <w:sz w:val="24"/>
                <w:szCs w:val="24"/>
              </w:rPr>
            </w:pPr>
            <w:r w:rsidRPr="002B7716">
              <w:rPr>
                <w:rFonts w:cs="Times New Roman"/>
                <w:b/>
                <w:sz w:val="24"/>
                <w:szCs w:val="24"/>
              </w:rPr>
              <w:t>Level 1 - Beginning</w:t>
            </w:r>
          </w:p>
        </w:tc>
      </w:tr>
      <w:tr w:rsidR="001B136A" w:rsidRPr="002B7716">
        <w:tc>
          <w:tcPr>
            <w:tcW w:w="1707" w:type="dxa"/>
          </w:tcPr>
          <w:p w:rsidR="001B136A" w:rsidRPr="002B7716" w:rsidRDefault="00081B1C" w:rsidP="006B4DDF">
            <w:pPr>
              <w:rPr>
                <w:rFonts w:cs="Times New Roman"/>
                <w:sz w:val="24"/>
                <w:szCs w:val="24"/>
              </w:rPr>
            </w:pPr>
            <w:r w:rsidRPr="002B7716">
              <w:rPr>
                <w:rFonts w:cs="Times New Roman"/>
                <w:sz w:val="24"/>
                <w:szCs w:val="24"/>
              </w:rPr>
              <w:t>Relevance to Application</w:t>
            </w:r>
          </w:p>
        </w:tc>
        <w:tc>
          <w:tcPr>
            <w:tcW w:w="1707" w:type="dxa"/>
          </w:tcPr>
          <w:p w:rsidR="001B136A" w:rsidRPr="002B7716" w:rsidRDefault="00081B1C" w:rsidP="006B4DDF">
            <w:pPr>
              <w:rPr>
                <w:rFonts w:cs="Times New Roman"/>
                <w:sz w:val="24"/>
                <w:szCs w:val="24"/>
              </w:rPr>
            </w:pPr>
            <w:r w:rsidRPr="002B7716">
              <w:rPr>
                <w:rFonts w:cs="Times New Roman"/>
                <w:sz w:val="24"/>
                <w:szCs w:val="24"/>
              </w:rPr>
              <w:t>25%</w:t>
            </w:r>
          </w:p>
        </w:tc>
        <w:tc>
          <w:tcPr>
            <w:tcW w:w="1707" w:type="dxa"/>
          </w:tcPr>
          <w:p w:rsidR="001B136A" w:rsidRPr="002B7716" w:rsidRDefault="00081B1C" w:rsidP="006B4DDF">
            <w:pPr>
              <w:rPr>
                <w:rFonts w:cs="Times New Roman"/>
                <w:sz w:val="24"/>
                <w:szCs w:val="24"/>
              </w:rPr>
            </w:pPr>
            <w:r w:rsidRPr="002B7716">
              <w:rPr>
                <w:rFonts w:cs="Times New Roman"/>
                <w:sz w:val="24"/>
                <w:szCs w:val="24"/>
              </w:rPr>
              <w:t>Response directly addresses the given use case with strong relevance</w:t>
            </w:r>
          </w:p>
        </w:tc>
        <w:tc>
          <w:tcPr>
            <w:tcW w:w="1707" w:type="dxa"/>
          </w:tcPr>
          <w:p w:rsidR="001B136A" w:rsidRPr="002B7716" w:rsidRDefault="00081B1C" w:rsidP="006B4DDF">
            <w:pPr>
              <w:rPr>
                <w:rFonts w:cs="Times New Roman"/>
                <w:sz w:val="24"/>
                <w:szCs w:val="24"/>
              </w:rPr>
            </w:pPr>
            <w:r w:rsidRPr="002B7716">
              <w:rPr>
                <w:rFonts w:cs="Times New Roman"/>
                <w:sz w:val="24"/>
                <w:szCs w:val="24"/>
              </w:rPr>
              <w:t>Mostly relevant response</w:t>
            </w:r>
          </w:p>
        </w:tc>
        <w:tc>
          <w:tcPr>
            <w:tcW w:w="1707" w:type="dxa"/>
          </w:tcPr>
          <w:p w:rsidR="001B136A" w:rsidRPr="002B7716" w:rsidRDefault="00081B1C" w:rsidP="006B4DDF">
            <w:pPr>
              <w:rPr>
                <w:rFonts w:cs="Times New Roman"/>
                <w:sz w:val="24"/>
                <w:szCs w:val="24"/>
              </w:rPr>
            </w:pPr>
            <w:r w:rsidRPr="002B7716">
              <w:rPr>
                <w:rFonts w:cs="Times New Roman"/>
                <w:sz w:val="24"/>
                <w:szCs w:val="24"/>
              </w:rPr>
              <w:t>Partially relevant</w:t>
            </w:r>
          </w:p>
        </w:tc>
        <w:tc>
          <w:tcPr>
            <w:tcW w:w="1707" w:type="dxa"/>
          </w:tcPr>
          <w:p w:rsidR="001B136A" w:rsidRPr="002B7716" w:rsidRDefault="00081B1C" w:rsidP="006B4DDF">
            <w:pPr>
              <w:rPr>
                <w:rFonts w:cs="Times New Roman"/>
                <w:sz w:val="24"/>
                <w:szCs w:val="24"/>
              </w:rPr>
            </w:pPr>
            <w:r w:rsidRPr="002B7716">
              <w:rPr>
                <w:rFonts w:cs="Times New Roman"/>
                <w:sz w:val="24"/>
                <w:szCs w:val="24"/>
              </w:rPr>
              <w:t>Weak relevance</w:t>
            </w:r>
          </w:p>
        </w:tc>
      </w:tr>
      <w:tr w:rsidR="001B136A" w:rsidRPr="002B7716">
        <w:tc>
          <w:tcPr>
            <w:tcW w:w="1707" w:type="dxa"/>
          </w:tcPr>
          <w:p w:rsidR="001B136A" w:rsidRPr="002B7716" w:rsidRDefault="00081B1C" w:rsidP="006B4DDF">
            <w:pPr>
              <w:rPr>
                <w:rFonts w:cs="Times New Roman"/>
                <w:sz w:val="24"/>
                <w:szCs w:val="24"/>
              </w:rPr>
            </w:pPr>
            <w:r w:rsidRPr="002B7716">
              <w:rPr>
                <w:rFonts w:cs="Times New Roman"/>
                <w:sz w:val="24"/>
                <w:szCs w:val="24"/>
              </w:rPr>
              <w:t>Use of Cloud Concepts</w:t>
            </w:r>
          </w:p>
        </w:tc>
        <w:tc>
          <w:tcPr>
            <w:tcW w:w="1707" w:type="dxa"/>
          </w:tcPr>
          <w:p w:rsidR="001B136A" w:rsidRPr="002B7716" w:rsidRDefault="00081B1C" w:rsidP="006B4DDF">
            <w:pPr>
              <w:rPr>
                <w:rFonts w:cs="Times New Roman"/>
                <w:sz w:val="24"/>
                <w:szCs w:val="24"/>
              </w:rPr>
            </w:pPr>
            <w:r w:rsidRPr="002B7716">
              <w:rPr>
                <w:rFonts w:cs="Times New Roman"/>
                <w:sz w:val="24"/>
                <w:szCs w:val="24"/>
              </w:rPr>
              <w:t>25%</w:t>
            </w:r>
          </w:p>
        </w:tc>
        <w:tc>
          <w:tcPr>
            <w:tcW w:w="1707" w:type="dxa"/>
          </w:tcPr>
          <w:p w:rsidR="001B136A" w:rsidRPr="002B7716" w:rsidRDefault="00081B1C" w:rsidP="006B4DDF">
            <w:pPr>
              <w:rPr>
                <w:rFonts w:cs="Times New Roman"/>
                <w:sz w:val="24"/>
                <w:szCs w:val="24"/>
              </w:rPr>
            </w:pPr>
            <w:r w:rsidRPr="002B7716">
              <w:rPr>
                <w:rFonts w:cs="Times New Roman"/>
                <w:sz w:val="24"/>
                <w:szCs w:val="24"/>
              </w:rPr>
              <w:t>Applies appropriate concepts accurately</w:t>
            </w:r>
          </w:p>
        </w:tc>
        <w:tc>
          <w:tcPr>
            <w:tcW w:w="1707" w:type="dxa"/>
          </w:tcPr>
          <w:p w:rsidR="001B136A" w:rsidRPr="002B7716" w:rsidRDefault="00081B1C" w:rsidP="006B4DDF">
            <w:pPr>
              <w:rPr>
                <w:rFonts w:cs="Times New Roman"/>
                <w:sz w:val="24"/>
                <w:szCs w:val="24"/>
              </w:rPr>
            </w:pPr>
            <w:r w:rsidRPr="002B7716">
              <w:rPr>
                <w:rFonts w:cs="Times New Roman"/>
                <w:sz w:val="24"/>
                <w:szCs w:val="24"/>
              </w:rPr>
              <w:t>Mostly accurate application</w:t>
            </w:r>
          </w:p>
        </w:tc>
        <w:tc>
          <w:tcPr>
            <w:tcW w:w="1707" w:type="dxa"/>
          </w:tcPr>
          <w:p w:rsidR="001B136A" w:rsidRPr="002B7716" w:rsidRDefault="00081B1C" w:rsidP="006B4DDF">
            <w:pPr>
              <w:rPr>
                <w:rFonts w:cs="Times New Roman"/>
                <w:sz w:val="24"/>
                <w:szCs w:val="24"/>
              </w:rPr>
            </w:pPr>
            <w:r w:rsidRPr="002B7716">
              <w:rPr>
                <w:rFonts w:cs="Times New Roman"/>
                <w:sz w:val="24"/>
                <w:szCs w:val="24"/>
              </w:rPr>
              <w:t>Basic application only</w:t>
            </w:r>
          </w:p>
        </w:tc>
        <w:tc>
          <w:tcPr>
            <w:tcW w:w="1707" w:type="dxa"/>
          </w:tcPr>
          <w:p w:rsidR="001B136A" w:rsidRPr="002B7716" w:rsidRDefault="00081B1C" w:rsidP="006B4DDF">
            <w:pPr>
              <w:rPr>
                <w:rFonts w:cs="Times New Roman"/>
                <w:sz w:val="24"/>
                <w:szCs w:val="24"/>
              </w:rPr>
            </w:pPr>
            <w:r w:rsidRPr="002B7716">
              <w:rPr>
                <w:rFonts w:cs="Times New Roman"/>
                <w:sz w:val="24"/>
                <w:szCs w:val="24"/>
              </w:rPr>
              <w:t>Incorrect concept usage</w:t>
            </w:r>
          </w:p>
        </w:tc>
      </w:tr>
      <w:tr w:rsidR="001B136A" w:rsidRPr="002B7716">
        <w:tc>
          <w:tcPr>
            <w:tcW w:w="1707" w:type="dxa"/>
          </w:tcPr>
          <w:p w:rsidR="001B136A" w:rsidRPr="002B7716" w:rsidRDefault="00081B1C" w:rsidP="006B4DDF">
            <w:pPr>
              <w:rPr>
                <w:rFonts w:cs="Times New Roman"/>
                <w:sz w:val="24"/>
                <w:szCs w:val="24"/>
              </w:rPr>
            </w:pPr>
            <w:r w:rsidRPr="002B7716">
              <w:rPr>
                <w:rFonts w:cs="Times New Roman"/>
                <w:sz w:val="24"/>
                <w:szCs w:val="24"/>
              </w:rPr>
              <w:t>Practical Insight</w:t>
            </w:r>
          </w:p>
        </w:tc>
        <w:tc>
          <w:tcPr>
            <w:tcW w:w="1707" w:type="dxa"/>
          </w:tcPr>
          <w:p w:rsidR="001B136A" w:rsidRPr="002B7716" w:rsidRDefault="00081B1C" w:rsidP="006B4DDF">
            <w:pPr>
              <w:rPr>
                <w:rFonts w:cs="Times New Roman"/>
                <w:sz w:val="24"/>
                <w:szCs w:val="24"/>
              </w:rPr>
            </w:pPr>
            <w:r w:rsidRPr="002B7716">
              <w:rPr>
                <w:rFonts w:cs="Times New Roman"/>
                <w:sz w:val="24"/>
                <w:szCs w:val="24"/>
              </w:rPr>
              <w:t>20%</w:t>
            </w:r>
          </w:p>
        </w:tc>
        <w:tc>
          <w:tcPr>
            <w:tcW w:w="1707" w:type="dxa"/>
          </w:tcPr>
          <w:p w:rsidR="001B136A" w:rsidRPr="002B7716" w:rsidRDefault="00081B1C" w:rsidP="006B4DDF">
            <w:pPr>
              <w:rPr>
                <w:rFonts w:cs="Times New Roman"/>
                <w:sz w:val="24"/>
                <w:szCs w:val="24"/>
              </w:rPr>
            </w:pPr>
            <w:r w:rsidRPr="002B7716">
              <w:rPr>
                <w:rFonts w:cs="Times New Roman"/>
                <w:sz w:val="24"/>
                <w:szCs w:val="24"/>
              </w:rPr>
              <w:t>Shows strong real-world understanding</w:t>
            </w:r>
          </w:p>
        </w:tc>
        <w:tc>
          <w:tcPr>
            <w:tcW w:w="1707" w:type="dxa"/>
          </w:tcPr>
          <w:p w:rsidR="001B136A" w:rsidRPr="002B7716" w:rsidRDefault="00081B1C" w:rsidP="006B4DDF">
            <w:pPr>
              <w:rPr>
                <w:rFonts w:cs="Times New Roman"/>
                <w:sz w:val="24"/>
                <w:szCs w:val="24"/>
              </w:rPr>
            </w:pPr>
            <w:r w:rsidRPr="002B7716">
              <w:rPr>
                <w:rFonts w:cs="Times New Roman"/>
                <w:sz w:val="24"/>
                <w:szCs w:val="24"/>
              </w:rPr>
              <w:t>Shows reasonable practical understanding</w:t>
            </w:r>
          </w:p>
        </w:tc>
        <w:tc>
          <w:tcPr>
            <w:tcW w:w="1707" w:type="dxa"/>
          </w:tcPr>
          <w:p w:rsidR="001B136A" w:rsidRPr="002B7716" w:rsidRDefault="00081B1C" w:rsidP="006B4DDF">
            <w:pPr>
              <w:rPr>
                <w:rFonts w:cs="Times New Roman"/>
                <w:sz w:val="24"/>
                <w:szCs w:val="24"/>
              </w:rPr>
            </w:pPr>
            <w:r w:rsidRPr="002B7716">
              <w:rPr>
                <w:rFonts w:cs="Times New Roman"/>
                <w:sz w:val="24"/>
                <w:szCs w:val="24"/>
              </w:rPr>
              <w:t>Limited practical insight</w:t>
            </w:r>
          </w:p>
        </w:tc>
        <w:tc>
          <w:tcPr>
            <w:tcW w:w="1707" w:type="dxa"/>
          </w:tcPr>
          <w:p w:rsidR="001B136A" w:rsidRPr="002B7716" w:rsidRDefault="00081B1C" w:rsidP="006B4DDF">
            <w:pPr>
              <w:rPr>
                <w:rFonts w:cs="Times New Roman"/>
                <w:sz w:val="24"/>
                <w:szCs w:val="24"/>
              </w:rPr>
            </w:pPr>
            <w:r w:rsidRPr="002B7716">
              <w:rPr>
                <w:rFonts w:cs="Times New Roman"/>
                <w:sz w:val="24"/>
                <w:szCs w:val="24"/>
              </w:rPr>
              <w:t>No practical insight</w:t>
            </w:r>
          </w:p>
        </w:tc>
      </w:tr>
      <w:tr w:rsidR="001B136A" w:rsidRPr="002B7716">
        <w:tc>
          <w:tcPr>
            <w:tcW w:w="1707" w:type="dxa"/>
          </w:tcPr>
          <w:p w:rsidR="001B136A" w:rsidRPr="002B7716" w:rsidRDefault="00081B1C" w:rsidP="006B4DDF">
            <w:pPr>
              <w:rPr>
                <w:rFonts w:cs="Times New Roman"/>
                <w:sz w:val="24"/>
                <w:szCs w:val="24"/>
              </w:rPr>
            </w:pPr>
            <w:r w:rsidRPr="002B7716">
              <w:rPr>
                <w:rFonts w:cs="Times New Roman"/>
                <w:sz w:val="24"/>
                <w:szCs w:val="24"/>
              </w:rPr>
              <w:t>Completeness</w:t>
            </w:r>
          </w:p>
        </w:tc>
        <w:tc>
          <w:tcPr>
            <w:tcW w:w="1707" w:type="dxa"/>
          </w:tcPr>
          <w:p w:rsidR="001B136A" w:rsidRPr="002B7716" w:rsidRDefault="00081B1C" w:rsidP="006B4DDF">
            <w:pPr>
              <w:rPr>
                <w:rFonts w:cs="Times New Roman"/>
                <w:sz w:val="24"/>
                <w:szCs w:val="24"/>
              </w:rPr>
            </w:pPr>
            <w:r w:rsidRPr="002B7716">
              <w:rPr>
                <w:rFonts w:cs="Times New Roman"/>
                <w:sz w:val="24"/>
                <w:szCs w:val="24"/>
              </w:rPr>
              <w:t>15%</w:t>
            </w:r>
          </w:p>
        </w:tc>
        <w:tc>
          <w:tcPr>
            <w:tcW w:w="1707" w:type="dxa"/>
          </w:tcPr>
          <w:p w:rsidR="001B136A" w:rsidRPr="002B7716" w:rsidRDefault="00081B1C" w:rsidP="006B4DDF">
            <w:pPr>
              <w:rPr>
                <w:rFonts w:cs="Times New Roman"/>
                <w:sz w:val="24"/>
                <w:szCs w:val="24"/>
              </w:rPr>
            </w:pPr>
            <w:r w:rsidRPr="002B7716">
              <w:rPr>
                <w:rFonts w:cs="Times New Roman"/>
                <w:sz w:val="24"/>
                <w:szCs w:val="24"/>
              </w:rPr>
              <w:t>Response covers all required aspects</w:t>
            </w:r>
          </w:p>
        </w:tc>
        <w:tc>
          <w:tcPr>
            <w:tcW w:w="1707" w:type="dxa"/>
          </w:tcPr>
          <w:p w:rsidR="001B136A" w:rsidRPr="002B7716" w:rsidRDefault="00081B1C" w:rsidP="006B4DDF">
            <w:pPr>
              <w:rPr>
                <w:rFonts w:cs="Times New Roman"/>
                <w:sz w:val="24"/>
                <w:szCs w:val="24"/>
              </w:rPr>
            </w:pPr>
            <w:r w:rsidRPr="002B7716">
              <w:rPr>
                <w:rFonts w:cs="Times New Roman"/>
                <w:sz w:val="24"/>
                <w:szCs w:val="24"/>
              </w:rPr>
              <w:t>Covers most aspects</w:t>
            </w:r>
          </w:p>
        </w:tc>
        <w:tc>
          <w:tcPr>
            <w:tcW w:w="1707" w:type="dxa"/>
          </w:tcPr>
          <w:p w:rsidR="001B136A" w:rsidRPr="002B7716" w:rsidRDefault="00081B1C" w:rsidP="006B4DDF">
            <w:pPr>
              <w:rPr>
                <w:rFonts w:cs="Times New Roman"/>
                <w:sz w:val="24"/>
                <w:szCs w:val="24"/>
              </w:rPr>
            </w:pPr>
            <w:r w:rsidRPr="002B7716">
              <w:rPr>
                <w:rFonts w:cs="Times New Roman"/>
                <w:sz w:val="24"/>
                <w:szCs w:val="24"/>
              </w:rPr>
              <w:t>Covers only basic aspects</w:t>
            </w:r>
          </w:p>
        </w:tc>
        <w:tc>
          <w:tcPr>
            <w:tcW w:w="1707" w:type="dxa"/>
          </w:tcPr>
          <w:p w:rsidR="001B136A" w:rsidRPr="002B7716" w:rsidRDefault="00081B1C" w:rsidP="006B4DDF">
            <w:pPr>
              <w:rPr>
                <w:rFonts w:cs="Times New Roman"/>
                <w:sz w:val="24"/>
                <w:szCs w:val="24"/>
              </w:rPr>
            </w:pPr>
            <w:r w:rsidRPr="002B7716">
              <w:rPr>
                <w:rFonts w:cs="Times New Roman"/>
                <w:sz w:val="24"/>
                <w:szCs w:val="24"/>
              </w:rPr>
              <w:t>Incomplete response</w:t>
            </w:r>
          </w:p>
        </w:tc>
      </w:tr>
      <w:tr w:rsidR="001B136A" w:rsidRPr="002B7716">
        <w:tc>
          <w:tcPr>
            <w:tcW w:w="1707" w:type="dxa"/>
          </w:tcPr>
          <w:p w:rsidR="001B136A" w:rsidRPr="002B7716" w:rsidRDefault="00081B1C" w:rsidP="006B4DDF">
            <w:pPr>
              <w:rPr>
                <w:rFonts w:cs="Times New Roman"/>
                <w:sz w:val="24"/>
                <w:szCs w:val="24"/>
              </w:rPr>
            </w:pPr>
            <w:r w:rsidRPr="002B7716">
              <w:rPr>
                <w:rFonts w:cs="Times New Roman"/>
                <w:sz w:val="24"/>
                <w:szCs w:val="24"/>
              </w:rPr>
              <w:t>Clarity</w:t>
            </w:r>
          </w:p>
        </w:tc>
        <w:tc>
          <w:tcPr>
            <w:tcW w:w="1707" w:type="dxa"/>
          </w:tcPr>
          <w:p w:rsidR="001B136A" w:rsidRPr="002B7716" w:rsidRDefault="00081B1C" w:rsidP="006B4DDF">
            <w:pPr>
              <w:rPr>
                <w:rFonts w:cs="Times New Roman"/>
                <w:sz w:val="24"/>
                <w:szCs w:val="24"/>
              </w:rPr>
            </w:pPr>
            <w:r w:rsidRPr="002B7716">
              <w:rPr>
                <w:rFonts w:cs="Times New Roman"/>
                <w:sz w:val="24"/>
                <w:szCs w:val="24"/>
              </w:rPr>
              <w:t>15%</w:t>
            </w:r>
          </w:p>
        </w:tc>
        <w:tc>
          <w:tcPr>
            <w:tcW w:w="1707" w:type="dxa"/>
          </w:tcPr>
          <w:p w:rsidR="001B136A" w:rsidRPr="002B7716" w:rsidRDefault="00081B1C" w:rsidP="006B4DDF">
            <w:pPr>
              <w:rPr>
                <w:rFonts w:cs="Times New Roman"/>
                <w:sz w:val="24"/>
                <w:szCs w:val="24"/>
              </w:rPr>
            </w:pPr>
            <w:r w:rsidRPr="002B7716">
              <w:rPr>
                <w:rFonts w:cs="Times New Roman"/>
                <w:sz w:val="24"/>
                <w:szCs w:val="24"/>
              </w:rPr>
              <w:t>Clear and concise answer</w:t>
            </w:r>
          </w:p>
        </w:tc>
        <w:tc>
          <w:tcPr>
            <w:tcW w:w="1707" w:type="dxa"/>
          </w:tcPr>
          <w:p w:rsidR="001B136A" w:rsidRPr="002B7716" w:rsidRDefault="00081B1C" w:rsidP="006B4DDF">
            <w:pPr>
              <w:rPr>
                <w:rFonts w:cs="Times New Roman"/>
                <w:sz w:val="24"/>
                <w:szCs w:val="24"/>
              </w:rPr>
            </w:pPr>
            <w:r w:rsidRPr="002B7716">
              <w:rPr>
                <w:rFonts w:cs="Times New Roman"/>
                <w:sz w:val="24"/>
                <w:szCs w:val="24"/>
              </w:rPr>
              <w:t>Generally clear</w:t>
            </w:r>
          </w:p>
        </w:tc>
        <w:tc>
          <w:tcPr>
            <w:tcW w:w="1707" w:type="dxa"/>
          </w:tcPr>
          <w:p w:rsidR="001B136A" w:rsidRPr="002B7716" w:rsidRDefault="00081B1C" w:rsidP="006B4DDF">
            <w:pPr>
              <w:rPr>
                <w:rFonts w:cs="Times New Roman"/>
                <w:sz w:val="24"/>
                <w:szCs w:val="24"/>
              </w:rPr>
            </w:pPr>
            <w:r w:rsidRPr="002B7716">
              <w:rPr>
                <w:rFonts w:cs="Times New Roman"/>
                <w:sz w:val="24"/>
                <w:szCs w:val="24"/>
              </w:rPr>
              <w:t>Some confusion in expression</w:t>
            </w:r>
          </w:p>
        </w:tc>
        <w:tc>
          <w:tcPr>
            <w:tcW w:w="1707" w:type="dxa"/>
          </w:tcPr>
          <w:p w:rsidR="001B136A" w:rsidRPr="002B7716" w:rsidRDefault="00081B1C" w:rsidP="006B4DDF">
            <w:pPr>
              <w:rPr>
                <w:rFonts w:cs="Times New Roman"/>
                <w:sz w:val="24"/>
                <w:szCs w:val="24"/>
              </w:rPr>
            </w:pPr>
            <w:r w:rsidRPr="002B7716">
              <w:rPr>
                <w:rFonts w:cs="Times New Roman"/>
                <w:sz w:val="24"/>
                <w:szCs w:val="24"/>
              </w:rPr>
              <w:t>Poor clarity</w:t>
            </w:r>
          </w:p>
        </w:tc>
      </w:tr>
    </w:tbl>
    <w:p w:rsidR="001B136A" w:rsidRPr="002B7716" w:rsidRDefault="001B136A" w:rsidP="006B4DDF">
      <w:pPr>
        <w:rPr>
          <w:rFonts w:cs="Times New Roman"/>
          <w:sz w:val="24"/>
          <w:szCs w:val="24"/>
        </w:rPr>
      </w:pPr>
    </w:p>
    <w:sectPr w:rsidR="001B136A" w:rsidRPr="002B7716"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5947555"/>
    <w:multiLevelType w:val="hybridMultilevel"/>
    <w:tmpl w:val="24CE78F0"/>
    <w:lvl w:ilvl="0" w:tplc="1B248FBA">
      <w:start w:val="1"/>
      <w:numFmt w:val="bullet"/>
      <w:lvlText w:val="•"/>
      <w:lvlJc w:val="left"/>
      <w:pPr>
        <w:ind w:left="504" w:hanging="288"/>
      </w:pPr>
    </w:lvl>
    <w:lvl w:ilvl="1" w:tplc="766C7DAC">
      <w:numFmt w:val="decimal"/>
      <w:lvlText w:val=""/>
      <w:lvlJc w:val="left"/>
    </w:lvl>
    <w:lvl w:ilvl="2" w:tplc="AA1CA246">
      <w:numFmt w:val="decimal"/>
      <w:lvlText w:val=""/>
      <w:lvlJc w:val="left"/>
    </w:lvl>
    <w:lvl w:ilvl="3" w:tplc="F3D2571A">
      <w:numFmt w:val="decimal"/>
      <w:lvlText w:val=""/>
      <w:lvlJc w:val="left"/>
    </w:lvl>
    <w:lvl w:ilvl="4" w:tplc="F6744EA0">
      <w:numFmt w:val="decimal"/>
      <w:lvlText w:val=""/>
      <w:lvlJc w:val="left"/>
    </w:lvl>
    <w:lvl w:ilvl="5" w:tplc="AB4609C4">
      <w:numFmt w:val="decimal"/>
      <w:lvlText w:val=""/>
      <w:lvlJc w:val="left"/>
    </w:lvl>
    <w:lvl w:ilvl="6" w:tplc="100CE504">
      <w:numFmt w:val="decimal"/>
      <w:lvlText w:val=""/>
      <w:lvlJc w:val="left"/>
    </w:lvl>
    <w:lvl w:ilvl="7" w:tplc="8C74A26A">
      <w:numFmt w:val="decimal"/>
      <w:lvlText w:val=""/>
      <w:lvlJc w:val="left"/>
    </w:lvl>
    <w:lvl w:ilvl="8" w:tplc="267E2446">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B1C"/>
    <w:rsid w:val="0015074B"/>
    <w:rsid w:val="001B136A"/>
    <w:rsid w:val="0029639D"/>
    <w:rsid w:val="002B7716"/>
    <w:rsid w:val="00326F90"/>
    <w:rsid w:val="006B4DDF"/>
    <w:rsid w:val="00AA1D8D"/>
    <w:rsid w:val="00B47730"/>
    <w:rsid w:val="00BA77B8"/>
    <w:rsid w:val="00C04174"/>
    <w:rsid w:val="00CB0664"/>
    <w:rsid w:val="00E13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E003F8D-0E0B-45FF-A799-9889D490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4EC82F-BC3D-494A-A402-CDD90A82E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2409</Words>
  <Characters>13736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Sonaa.R</cp:lastModifiedBy>
  <cp:revision>4</cp:revision>
  <dcterms:created xsi:type="dcterms:W3CDTF">2026-08-01T05:33:00Z</dcterms:created>
  <dcterms:modified xsi:type="dcterms:W3CDTF">2026-08-01T05:36:00Z</dcterms:modified>
  <cp:category/>
</cp:coreProperties>
</file>